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C0E" w:rsidRDefault="00A83C0E"/>
    <w:p w:rsidR="00A83C0E" w:rsidRPr="00A83C0E" w:rsidRDefault="00A83C0E" w:rsidP="00A83C0E"/>
    <w:p w:rsidR="00A83C0E" w:rsidRPr="00A83C0E" w:rsidRDefault="00A83C0E" w:rsidP="00A83C0E"/>
    <w:p w:rsidR="00A83C0E" w:rsidRPr="00A83C0E" w:rsidRDefault="00A83C0E" w:rsidP="00A83C0E"/>
    <w:p w:rsidR="00A83C0E" w:rsidRPr="00A83C0E" w:rsidRDefault="00A83C0E" w:rsidP="00A83C0E"/>
    <w:p w:rsidR="00A83C0E" w:rsidRPr="00A83C0E" w:rsidRDefault="00A83C0E" w:rsidP="00A83C0E"/>
    <w:p w:rsidR="00A83C0E" w:rsidRPr="00A83C0E" w:rsidRDefault="005312C9" w:rsidP="005312C9">
      <w:pPr>
        <w:tabs>
          <w:tab w:val="left" w:pos="6184"/>
        </w:tabs>
      </w:pPr>
      <w:r>
        <w:tab/>
      </w:r>
    </w:p>
    <w:p w:rsidR="00A83C0E" w:rsidRDefault="0013666C" w:rsidP="00A83C0E">
      <w:r>
        <w:rPr>
          <w:noProof/>
          <w:lang w:eastAsia="es-MX"/>
        </w:rPr>
        <w:pict>
          <v:rect id="_x0000_s1026" style="position:absolute;left:0;text-align:left;margin-left:-58.4pt;margin-top:7.65pt;width:652.25pt;height:136.1pt;z-index:251658240" o:allowincell="f" o:allowoverlap="f" fillcolor="#1b3564" stroked="f" strokecolor="#f2f2f2 [3041]" strokeweight="1pt">
            <v:fill r:id="rId9" o:title="Diagonal hacia abajo ancha" opacity="4588f" color2="#553d06" o:opacity2="4588f" type="pattern"/>
            <v:shadow on="t" type="perspective" color="#fbd4b4 [1305]" opacity=".5" origin=",.5" offset="0,0" matrix=",-56756f,,.5"/>
            <v:textbox style="mso-next-textbox:#_x0000_s1026">
              <w:txbxContent>
                <w:p w:rsidR="00B94ED3" w:rsidRDefault="00B94ED3" w:rsidP="0026625B">
                  <w:pPr>
                    <w:pStyle w:val="Ttulos"/>
                    <w:shd w:val="clear" w:color="auto" w:fill="1B3564"/>
                    <w:ind w:left="-115"/>
                    <w:rPr>
                      <w:rFonts w:ascii="Garamond" w:hAnsi="Garamond" w:cs="Garamond"/>
                      <w:color w:val="FFFFFF" w:themeColor="background1"/>
                      <w:lang w:val="es-MX"/>
                    </w:rPr>
                  </w:pPr>
                </w:p>
                <w:p w:rsidR="00B94ED3" w:rsidRDefault="00B94ED3" w:rsidP="0026625B">
                  <w:pPr>
                    <w:pStyle w:val="Ttulos"/>
                    <w:shd w:val="clear" w:color="auto" w:fill="1B3564"/>
                    <w:ind w:left="-115"/>
                    <w:rPr>
                      <w:rFonts w:ascii="Garamond" w:hAnsi="Garamond" w:cs="Garamond"/>
                      <w:color w:val="FFFFFF" w:themeColor="background1"/>
                      <w:lang w:val="es-MX"/>
                    </w:rPr>
                  </w:pPr>
                </w:p>
                <w:p w:rsidR="00B94ED3" w:rsidRDefault="00D52804" w:rsidP="0026625B">
                  <w:pPr>
                    <w:shd w:val="clear" w:color="auto" w:fill="1B3564"/>
                    <w:ind w:left="-115"/>
                    <w:jc w:val="center"/>
                  </w:pPr>
                  <w:r>
                    <w:rPr>
                      <w:rFonts w:cs="Garamond"/>
                      <w:b/>
                      <w:bCs/>
                      <w:color w:val="FFFFFF" w:themeColor="background1"/>
                      <w:sz w:val="72"/>
                      <w:szCs w:val="72"/>
                    </w:rPr>
                    <w:t>ARTÍCULOS INVIT</w:t>
                  </w:r>
                  <w:r w:rsidR="00442AFD">
                    <w:rPr>
                      <w:rFonts w:cs="Garamond"/>
                      <w:b/>
                      <w:bCs/>
                      <w:color w:val="FFFFFF" w:themeColor="background1"/>
                      <w:sz w:val="72"/>
                      <w:szCs w:val="72"/>
                    </w:rPr>
                    <w:t>ADOS</w:t>
                  </w:r>
                </w:p>
              </w:txbxContent>
            </v:textbox>
            <w10:anchorlock/>
          </v:rect>
        </w:pict>
      </w:r>
    </w:p>
    <w:p w:rsidR="000D3DF8" w:rsidRDefault="00A83C0E" w:rsidP="00A83C0E">
      <w:pPr>
        <w:tabs>
          <w:tab w:val="left" w:pos="5520"/>
        </w:tabs>
      </w:pPr>
      <w:r>
        <w:tab/>
      </w:r>
    </w:p>
    <w:p w:rsidR="00A83C0E" w:rsidRDefault="00A83C0E" w:rsidP="00A83C0E">
      <w:pPr>
        <w:tabs>
          <w:tab w:val="left" w:pos="5520"/>
        </w:tabs>
      </w:pPr>
    </w:p>
    <w:p w:rsidR="00A83C0E" w:rsidRDefault="00A83C0E" w:rsidP="00A83C0E">
      <w:pPr>
        <w:tabs>
          <w:tab w:val="left" w:pos="5520"/>
        </w:tabs>
      </w:pPr>
    </w:p>
    <w:p w:rsidR="00A83C0E" w:rsidRDefault="00A83C0E" w:rsidP="00A83C0E">
      <w:pPr>
        <w:tabs>
          <w:tab w:val="left" w:pos="5520"/>
        </w:tabs>
      </w:pPr>
    </w:p>
    <w:p w:rsidR="00A83C0E" w:rsidRDefault="00A83C0E" w:rsidP="00A83C0E">
      <w:pPr>
        <w:tabs>
          <w:tab w:val="left" w:pos="5520"/>
        </w:tabs>
      </w:pPr>
    </w:p>
    <w:p w:rsidR="00A83C0E" w:rsidRDefault="00A83C0E"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A83C0E" w:rsidRDefault="005312C9" w:rsidP="005312C9">
      <w:pPr>
        <w:tabs>
          <w:tab w:val="left" w:pos="5520"/>
        </w:tabs>
        <w:jc w:val="center"/>
      </w:pPr>
      <w:r>
        <w:rPr>
          <w:noProof/>
          <w:lang w:eastAsia="es-MX"/>
        </w:rPr>
        <w:drawing>
          <wp:inline distT="0" distB="0" distL="0" distR="0">
            <wp:extent cx="775855" cy="599474"/>
            <wp:effectExtent l="0" t="0" r="5195" b="0"/>
            <wp:docPr id="4" name="3 Imagen" descr="Amicus Junt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Junto-01.png"/>
                    <pic:cNvPicPr/>
                  </pic:nvPicPr>
                  <pic:blipFill>
                    <a:blip r:embed="rId10" cstate="print"/>
                    <a:stretch>
                      <a:fillRect/>
                    </a:stretch>
                  </pic:blipFill>
                  <pic:spPr>
                    <a:xfrm>
                      <a:off x="0" y="0"/>
                      <a:ext cx="777606" cy="600827"/>
                    </a:xfrm>
                    <a:prstGeom prst="rect">
                      <a:avLst/>
                    </a:prstGeom>
                  </pic:spPr>
                </pic:pic>
              </a:graphicData>
            </a:graphic>
          </wp:inline>
        </w:drawing>
      </w:r>
    </w:p>
    <w:p w:rsidR="000224C5" w:rsidRPr="000224C5" w:rsidRDefault="000224C5" w:rsidP="000224C5"/>
    <w:p w:rsidR="005312C9" w:rsidRDefault="005312C9" w:rsidP="000224C5">
      <w:pPr>
        <w:jc w:val="center"/>
      </w:pPr>
    </w:p>
    <w:p w:rsidR="000224C5" w:rsidRDefault="000224C5" w:rsidP="000224C5">
      <w:pPr>
        <w:jc w:val="center"/>
      </w:pPr>
    </w:p>
    <w:p w:rsidR="000224C5" w:rsidRDefault="0013666C" w:rsidP="000224C5">
      <w:pPr>
        <w:jc w:val="center"/>
      </w:pPr>
      <w:r>
        <w:rPr>
          <w:noProof/>
          <w:lang w:eastAsia="es-MX"/>
        </w:rPr>
        <w:pict>
          <v:shapetype id="_x0000_t202" coordsize="21600,21600" o:spt="202" path="m,l,21600r21600,l21600,xe">
            <v:stroke joinstyle="miter"/>
            <v:path gradientshapeok="t" o:connecttype="rect"/>
          </v:shapetype>
          <v:shape id="_x0000_s1030" type="#_x0000_t202" style="position:absolute;left:0;text-align:left;margin-left:112.55pt;margin-top:-5.95pt;width:267.85pt;height:160.15pt;z-index:251661312;mso-width-relative:margin;mso-height-relative:margin" o:allowincell="f" o:allowoverlap="f" stroked="f">
            <v:textbox style="mso-next-textbox:#_x0000_s1030">
              <w:txbxContent>
                <w:p w:rsidR="00B94ED3" w:rsidRPr="008D624B" w:rsidRDefault="00B94ED3" w:rsidP="000224C5">
                  <w:pPr>
                    <w:widowControl w:val="0"/>
                    <w:overflowPunct w:val="0"/>
                    <w:autoSpaceDE w:val="0"/>
                    <w:autoSpaceDN w:val="0"/>
                    <w:adjustRightInd w:val="0"/>
                    <w:spacing w:after="0" w:line="240" w:lineRule="auto"/>
                    <w:jc w:val="center"/>
                    <w:rPr>
                      <w:b/>
                      <w:bCs/>
                      <w:kern w:val="28"/>
                      <w:sz w:val="28"/>
                      <w:szCs w:val="28"/>
                      <w:lang w:val="en-US"/>
                    </w:rPr>
                  </w:pPr>
                </w:p>
                <w:p w:rsidR="00D52804" w:rsidRDefault="00D52804" w:rsidP="00D52804">
                  <w:pPr>
                    <w:spacing w:after="0"/>
                    <w:jc w:val="center"/>
                    <w:rPr>
                      <w:rFonts w:cs="Arial"/>
                      <w:b/>
                      <w:szCs w:val="24"/>
                    </w:rPr>
                  </w:pPr>
                </w:p>
                <w:p w:rsidR="00D52804" w:rsidRDefault="00D52804" w:rsidP="00D52804">
                  <w:pPr>
                    <w:spacing w:after="0"/>
                    <w:jc w:val="center"/>
                    <w:rPr>
                      <w:rFonts w:cs="Arial"/>
                      <w:b/>
                      <w:szCs w:val="24"/>
                    </w:rPr>
                  </w:pPr>
                </w:p>
                <w:p w:rsidR="00D52804" w:rsidRDefault="00D52804" w:rsidP="00D52804">
                  <w:pPr>
                    <w:spacing w:after="0"/>
                    <w:jc w:val="center"/>
                    <w:rPr>
                      <w:rFonts w:cs="Arial"/>
                      <w:b/>
                      <w:szCs w:val="24"/>
                    </w:rPr>
                  </w:pPr>
                </w:p>
                <w:p w:rsidR="00D52804" w:rsidRPr="00103579" w:rsidRDefault="00D52804" w:rsidP="00D52804">
                  <w:pPr>
                    <w:spacing w:after="0"/>
                    <w:jc w:val="center"/>
                    <w:rPr>
                      <w:rFonts w:cs="Arial"/>
                      <w:b/>
                      <w:szCs w:val="24"/>
                    </w:rPr>
                  </w:pPr>
                  <w:r>
                    <w:rPr>
                      <w:rFonts w:cs="Arial"/>
                      <w:b/>
                      <w:szCs w:val="24"/>
                    </w:rPr>
                    <w:t>L</w:t>
                  </w:r>
                  <w:r w:rsidRPr="00103579">
                    <w:rPr>
                      <w:rFonts w:cs="Arial"/>
                      <w:b/>
                      <w:szCs w:val="24"/>
                    </w:rPr>
                    <w:t>A IMPLEMENTACIÓN DEL SISTEMA ACUS</w:t>
                  </w:r>
                  <w:r>
                    <w:rPr>
                      <w:rFonts w:cs="Arial"/>
                      <w:b/>
                      <w:szCs w:val="24"/>
                    </w:rPr>
                    <w:t>ATORIO EN M</w:t>
                  </w:r>
                  <w:r w:rsidRPr="00103579">
                    <w:rPr>
                      <w:rFonts w:cs="Arial"/>
                      <w:b/>
                      <w:szCs w:val="24"/>
                    </w:rPr>
                    <w:t>ÉXICO</w:t>
                  </w:r>
                </w:p>
                <w:p w:rsidR="00B94ED3" w:rsidRPr="00C4445F" w:rsidRDefault="00B94ED3" w:rsidP="000224C5">
                  <w:pPr>
                    <w:widowControl w:val="0"/>
                    <w:overflowPunct w:val="0"/>
                    <w:autoSpaceDE w:val="0"/>
                    <w:autoSpaceDN w:val="0"/>
                    <w:adjustRightInd w:val="0"/>
                    <w:spacing w:after="0" w:line="240" w:lineRule="auto"/>
                    <w:jc w:val="center"/>
                    <w:rPr>
                      <w:b/>
                      <w:bCs/>
                      <w:kern w:val="28"/>
                      <w:sz w:val="28"/>
                      <w:szCs w:val="28"/>
                    </w:rPr>
                  </w:pPr>
                </w:p>
                <w:p w:rsidR="00B94ED3" w:rsidRPr="00C4445F" w:rsidRDefault="00B94ED3" w:rsidP="000224C5">
                  <w:pPr>
                    <w:widowControl w:val="0"/>
                    <w:overflowPunct w:val="0"/>
                    <w:autoSpaceDE w:val="0"/>
                    <w:autoSpaceDN w:val="0"/>
                    <w:adjustRightInd w:val="0"/>
                    <w:spacing w:after="0" w:line="240" w:lineRule="auto"/>
                    <w:jc w:val="center"/>
                    <w:rPr>
                      <w:bCs/>
                      <w:kern w:val="28"/>
                      <w:sz w:val="28"/>
                      <w:szCs w:val="28"/>
                    </w:rPr>
                  </w:pPr>
                </w:p>
                <w:p w:rsidR="00B94ED3" w:rsidRPr="00C4445F" w:rsidRDefault="00B94ED3" w:rsidP="000224C5">
                  <w:pPr>
                    <w:widowControl w:val="0"/>
                    <w:overflowPunct w:val="0"/>
                    <w:autoSpaceDE w:val="0"/>
                    <w:autoSpaceDN w:val="0"/>
                    <w:adjustRightInd w:val="0"/>
                    <w:spacing w:after="0" w:line="240" w:lineRule="auto"/>
                    <w:jc w:val="center"/>
                    <w:rPr>
                      <w:bCs/>
                      <w:kern w:val="28"/>
                      <w:sz w:val="28"/>
                      <w:szCs w:val="28"/>
                    </w:rPr>
                  </w:pPr>
                </w:p>
                <w:p w:rsidR="00B94ED3" w:rsidRPr="00C4445F" w:rsidRDefault="00B94ED3" w:rsidP="000224C5"/>
              </w:txbxContent>
            </v:textbox>
            <w10:anchorlock/>
          </v:shape>
        </w:pict>
      </w:r>
    </w:p>
    <w:p w:rsidR="000224C5" w:rsidRPr="000224C5" w:rsidRDefault="000224C5" w:rsidP="000224C5"/>
    <w:p w:rsidR="000224C5" w:rsidRPr="000224C5" w:rsidRDefault="000224C5" w:rsidP="000224C5"/>
    <w:p w:rsidR="000224C5" w:rsidRPr="000224C5" w:rsidRDefault="000224C5" w:rsidP="000224C5"/>
    <w:p w:rsidR="000224C5" w:rsidRPr="000224C5" w:rsidRDefault="000224C5" w:rsidP="000224C5"/>
    <w:p w:rsidR="000224C5" w:rsidRPr="000224C5" w:rsidRDefault="000224C5" w:rsidP="000224C5"/>
    <w:p w:rsidR="000224C5" w:rsidRDefault="000224C5" w:rsidP="000224C5"/>
    <w:p w:rsidR="000224C5" w:rsidRDefault="0013666C" w:rsidP="000224C5">
      <w:pPr>
        <w:jc w:val="center"/>
      </w:pPr>
      <w:r>
        <w:rPr>
          <w:noProof/>
          <w:lang w:eastAsia="es-MX"/>
        </w:rPr>
        <w:pict>
          <v:shapetype id="_x0000_t32" coordsize="21600,21600" o:spt="32" o:oned="t" path="m,l21600,21600e" filled="f">
            <v:path arrowok="t" fillok="f" o:connecttype="none"/>
            <o:lock v:ext="edit" shapetype="t"/>
          </v:shapetype>
          <v:shape id="_x0000_s1031" type="#_x0000_t32" style="position:absolute;left:0;text-align:left;margin-left:103.5pt;margin-top:18.15pt;width:284.6pt;height:.05pt;z-index:251662336" o:connectortype="straight" strokecolor="#b78400" strokeweight="3pt">
            <w10:wrap type="square"/>
            <w10:anchorlock/>
          </v:shape>
        </w:pict>
      </w:r>
    </w:p>
    <w:p w:rsidR="000224C5" w:rsidRPr="000224C5" w:rsidRDefault="000224C5" w:rsidP="000224C5"/>
    <w:p w:rsidR="008F40A4" w:rsidRPr="008F40A4" w:rsidRDefault="00D52804" w:rsidP="00D52804">
      <w:pPr>
        <w:jc w:val="center"/>
      </w:pPr>
      <w:r w:rsidRPr="00103579">
        <w:rPr>
          <w:rFonts w:eastAsiaTheme="minorEastAsia" w:cs="Arial"/>
          <w:szCs w:val="24"/>
          <w:lang w:eastAsia="es-ES_tradnl"/>
        </w:rPr>
        <w:t>Gerardo García Silva</w:t>
      </w:r>
    </w:p>
    <w:p w:rsidR="000224C5" w:rsidRPr="008F40A4" w:rsidRDefault="000224C5" w:rsidP="000224C5"/>
    <w:p w:rsidR="000224C5" w:rsidRDefault="000224C5" w:rsidP="000224C5"/>
    <w:p w:rsidR="002052D0" w:rsidRDefault="002052D0" w:rsidP="000224C5"/>
    <w:p w:rsidR="002052D0" w:rsidRDefault="002052D0" w:rsidP="000224C5"/>
    <w:p w:rsidR="00A91FDE" w:rsidRDefault="00A91FDE" w:rsidP="000224C5"/>
    <w:p w:rsidR="00436378" w:rsidRDefault="00436378" w:rsidP="000224C5"/>
    <w:p w:rsidR="00436378" w:rsidRDefault="00436378" w:rsidP="000224C5"/>
    <w:p w:rsidR="00D078B2" w:rsidRDefault="00D078B2" w:rsidP="002052D0">
      <w:pPr>
        <w:jc w:val="center"/>
      </w:pPr>
    </w:p>
    <w:p w:rsidR="002052D0" w:rsidRDefault="002052D0" w:rsidP="002052D0">
      <w:pPr>
        <w:jc w:val="center"/>
      </w:pPr>
      <w:r w:rsidRPr="002052D0">
        <w:rPr>
          <w:noProof/>
          <w:lang w:eastAsia="es-MX"/>
        </w:rPr>
        <w:drawing>
          <wp:inline distT="0" distB="0" distL="0" distR="0">
            <wp:extent cx="1938841" cy="814314"/>
            <wp:effectExtent l="19050" t="0" r="4259" b="0"/>
            <wp:docPr id="761" name="6 Imagen" descr="UNAM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M Logos.jpg"/>
                    <pic:cNvPicPr/>
                  </pic:nvPicPr>
                  <pic:blipFill>
                    <a:blip r:embed="rId11" cstate="print"/>
                    <a:stretch>
                      <a:fillRect/>
                    </a:stretch>
                  </pic:blipFill>
                  <pic:spPr>
                    <a:xfrm>
                      <a:off x="0" y="0"/>
                      <a:ext cx="1937296" cy="813665"/>
                    </a:xfrm>
                    <a:prstGeom prst="rect">
                      <a:avLst/>
                    </a:prstGeom>
                  </pic:spPr>
                </pic:pic>
              </a:graphicData>
            </a:graphic>
          </wp:inline>
        </w:drawing>
      </w:r>
    </w:p>
    <w:p w:rsidR="00462F22" w:rsidRDefault="00462F22" w:rsidP="00C350C1">
      <w:pPr>
        <w:spacing w:after="120" w:line="240" w:lineRule="auto"/>
        <w:jc w:val="center"/>
        <w:rPr>
          <w:b/>
        </w:rPr>
      </w:pPr>
    </w:p>
    <w:p w:rsidR="0014593A" w:rsidRDefault="0014593A" w:rsidP="00C350C1">
      <w:pPr>
        <w:spacing w:after="120" w:line="240" w:lineRule="auto"/>
        <w:jc w:val="center"/>
        <w:rPr>
          <w:b/>
          <w:sz w:val="28"/>
          <w:szCs w:val="28"/>
        </w:rPr>
      </w:pPr>
    </w:p>
    <w:p w:rsidR="007C47E7" w:rsidRPr="00103579" w:rsidRDefault="00825F2D" w:rsidP="007C47E7">
      <w:pPr>
        <w:spacing w:after="0"/>
        <w:jc w:val="center"/>
        <w:rPr>
          <w:rFonts w:cs="Arial"/>
          <w:b/>
          <w:szCs w:val="24"/>
        </w:rPr>
      </w:pPr>
      <w:r>
        <w:rPr>
          <w:rFonts w:cs="Arial"/>
          <w:b/>
          <w:szCs w:val="24"/>
        </w:rPr>
        <w:t>L</w:t>
      </w:r>
      <w:r w:rsidRPr="00103579">
        <w:rPr>
          <w:rFonts w:cs="Arial"/>
          <w:b/>
          <w:szCs w:val="24"/>
        </w:rPr>
        <w:t>A IMPLEMENTACIÓN DEL SISTEMA ACUS</w:t>
      </w:r>
      <w:r>
        <w:rPr>
          <w:rFonts w:cs="Arial"/>
          <w:b/>
          <w:szCs w:val="24"/>
        </w:rPr>
        <w:t>ATORIO EN M</w:t>
      </w:r>
      <w:r w:rsidRPr="00103579">
        <w:rPr>
          <w:rFonts w:cs="Arial"/>
          <w:b/>
          <w:szCs w:val="24"/>
        </w:rPr>
        <w:t>ÉXICO</w:t>
      </w:r>
    </w:p>
    <w:p w:rsidR="007C47E7" w:rsidRPr="00103579" w:rsidRDefault="007C47E7" w:rsidP="007C47E7">
      <w:pPr>
        <w:spacing w:after="0"/>
        <w:rPr>
          <w:rFonts w:cs="Arial"/>
          <w:szCs w:val="24"/>
        </w:rPr>
      </w:pPr>
    </w:p>
    <w:p w:rsidR="007C47E7" w:rsidRPr="00103579" w:rsidRDefault="007C47E7" w:rsidP="007C47E7">
      <w:pPr>
        <w:spacing w:after="0" w:line="240" w:lineRule="auto"/>
        <w:jc w:val="right"/>
        <w:rPr>
          <w:rFonts w:eastAsiaTheme="minorEastAsia" w:cs="Arial"/>
          <w:szCs w:val="24"/>
          <w:lang w:eastAsia="es-ES_tradnl"/>
        </w:rPr>
      </w:pPr>
      <w:r w:rsidRPr="00103579">
        <w:rPr>
          <w:rFonts w:eastAsiaTheme="minorEastAsia" w:cs="Arial"/>
          <w:szCs w:val="24"/>
          <w:lang w:eastAsia="es-ES_tradnl"/>
        </w:rPr>
        <w:t>Dr. Gerardo García Silva</w:t>
      </w:r>
      <w:r w:rsidRPr="00103579">
        <w:rPr>
          <w:rFonts w:eastAsiaTheme="minorEastAsia" w:cs="Arial"/>
          <w:szCs w:val="24"/>
          <w:vertAlign w:val="superscript"/>
          <w:lang w:eastAsia="es-ES_tradnl"/>
        </w:rPr>
        <w:footnoteReference w:id="1"/>
      </w:r>
    </w:p>
    <w:p w:rsidR="007C47E7" w:rsidRPr="00103579" w:rsidRDefault="007C47E7" w:rsidP="007C47E7">
      <w:pPr>
        <w:spacing w:after="0" w:line="240" w:lineRule="auto"/>
        <w:rPr>
          <w:rFonts w:eastAsiaTheme="minorEastAsia" w:cs="Arial"/>
          <w:szCs w:val="24"/>
          <w:lang w:eastAsia="es-ES_tradnl"/>
        </w:rPr>
      </w:pPr>
    </w:p>
    <w:p w:rsidR="007C47E7" w:rsidRPr="00103579" w:rsidRDefault="007C47E7" w:rsidP="007C47E7">
      <w:pPr>
        <w:spacing w:after="0" w:line="240" w:lineRule="auto"/>
        <w:ind w:left="5954"/>
        <w:rPr>
          <w:rFonts w:eastAsiaTheme="minorEastAsia" w:cs="Arial"/>
          <w:i/>
          <w:szCs w:val="24"/>
          <w:lang w:eastAsia="es-ES_tradnl"/>
        </w:rPr>
      </w:pPr>
      <w:r w:rsidRPr="00103579">
        <w:rPr>
          <w:rFonts w:eastAsiaTheme="minorEastAsia" w:cs="Arial"/>
          <w:i/>
          <w:szCs w:val="24"/>
          <w:lang w:eastAsia="es-ES_tradnl"/>
        </w:rPr>
        <w:t>“La estructura del proceso penal de una nación no es sino el termómetro de los elementos corporativos o autoritarios de su Constitución”</w:t>
      </w:r>
    </w:p>
    <w:p w:rsidR="007C47E7" w:rsidRPr="00103579" w:rsidRDefault="007C47E7" w:rsidP="007C47E7">
      <w:pPr>
        <w:spacing w:after="0" w:line="240" w:lineRule="auto"/>
        <w:ind w:left="5954"/>
        <w:rPr>
          <w:rFonts w:eastAsiaTheme="minorEastAsia" w:cs="Arial"/>
          <w:i/>
          <w:szCs w:val="24"/>
          <w:lang w:eastAsia="es-ES_tradnl"/>
        </w:rPr>
      </w:pPr>
      <w:r w:rsidRPr="00103579">
        <w:rPr>
          <w:rFonts w:eastAsiaTheme="minorEastAsia" w:cs="Arial"/>
          <w:i/>
          <w:szCs w:val="24"/>
          <w:lang w:eastAsia="es-ES_tradnl"/>
        </w:rPr>
        <w:t xml:space="preserve">James </w:t>
      </w:r>
      <w:proofErr w:type="spellStart"/>
      <w:r w:rsidRPr="00103579">
        <w:rPr>
          <w:rFonts w:eastAsiaTheme="minorEastAsia" w:cs="Arial"/>
          <w:i/>
          <w:szCs w:val="24"/>
          <w:lang w:eastAsia="es-ES_tradnl"/>
        </w:rPr>
        <w:t>Goldschmidt</w:t>
      </w:r>
      <w:proofErr w:type="spellEnd"/>
    </w:p>
    <w:p w:rsidR="007C47E7" w:rsidRPr="00103579" w:rsidRDefault="007C47E7" w:rsidP="007C47E7">
      <w:pPr>
        <w:spacing w:after="0" w:line="240" w:lineRule="auto"/>
        <w:ind w:left="5954"/>
        <w:rPr>
          <w:rFonts w:eastAsiaTheme="minorEastAsia" w:cs="Arial"/>
          <w:i/>
          <w:szCs w:val="24"/>
          <w:lang w:eastAsia="es-ES_tradnl"/>
        </w:rPr>
      </w:pPr>
    </w:p>
    <w:p w:rsidR="007C47E7" w:rsidRPr="00103579" w:rsidRDefault="007C47E7" w:rsidP="007C47E7">
      <w:pPr>
        <w:spacing w:after="0" w:line="240" w:lineRule="auto"/>
        <w:ind w:left="5954"/>
        <w:rPr>
          <w:rFonts w:eastAsiaTheme="minorEastAsia" w:cs="Arial"/>
          <w:i/>
          <w:szCs w:val="24"/>
          <w:lang w:eastAsia="es-ES_tradnl"/>
        </w:rPr>
      </w:pPr>
      <w:r w:rsidRPr="00103579">
        <w:rPr>
          <w:rFonts w:eastAsiaTheme="minorEastAsia" w:cs="Arial"/>
          <w:i/>
          <w:szCs w:val="24"/>
          <w:lang w:eastAsia="es-ES_tradnl"/>
        </w:rPr>
        <w:t>“El derecho procesal penal es el sismógrafo de la Constitución del Estado”</w:t>
      </w:r>
    </w:p>
    <w:p w:rsidR="007C47E7" w:rsidRPr="00103579" w:rsidRDefault="007C47E7" w:rsidP="007C47E7">
      <w:pPr>
        <w:spacing w:after="0" w:line="240" w:lineRule="auto"/>
        <w:ind w:left="5954"/>
        <w:rPr>
          <w:rFonts w:eastAsiaTheme="minorEastAsia" w:cs="Arial"/>
          <w:i/>
          <w:szCs w:val="24"/>
          <w:lang w:eastAsia="es-ES_tradnl"/>
        </w:rPr>
      </w:pPr>
      <w:r w:rsidRPr="00103579">
        <w:rPr>
          <w:rFonts w:eastAsiaTheme="minorEastAsia" w:cs="Arial"/>
          <w:i/>
          <w:szCs w:val="24"/>
          <w:lang w:eastAsia="es-ES_tradnl"/>
        </w:rPr>
        <w:t xml:space="preserve">Claus </w:t>
      </w:r>
      <w:proofErr w:type="spellStart"/>
      <w:r w:rsidRPr="00103579">
        <w:rPr>
          <w:rFonts w:eastAsiaTheme="minorEastAsia" w:cs="Arial"/>
          <w:i/>
          <w:szCs w:val="24"/>
          <w:lang w:eastAsia="es-ES_tradnl"/>
        </w:rPr>
        <w:t>Roxin</w:t>
      </w:r>
      <w:proofErr w:type="spellEnd"/>
    </w:p>
    <w:p w:rsidR="007C47E7" w:rsidRPr="00103579" w:rsidRDefault="007C47E7" w:rsidP="007C47E7">
      <w:pPr>
        <w:spacing w:after="0"/>
        <w:rPr>
          <w:rFonts w:cs="Arial"/>
          <w:szCs w:val="24"/>
        </w:rPr>
      </w:pPr>
    </w:p>
    <w:p w:rsidR="007C47E7" w:rsidRPr="00103579" w:rsidRDefault="007C47E7" w:rsidP="007C47E7">
      <w:pPr>
        <w:spacing w:after="0"/>
        <w:rPr>
          <w:rFonts w:cs="Arial"/>
          <w:szCs w:val="24"/>
        </w:rPr>
      </w:pPr>
      <w:r w:rsidRPr="00103579">
        <w:rPr>
          <w:rFonts w:cs="Arial"/>
          <w:szCs w:val="24"/>
        </w:rPr>
        <w:t>A 10 meses de que se cumpla el plazo establecido en el segundo transitorio de la reforma constitucional de 18 de junio de 2008, la situación de la implementación y operación del sistema acusatorio en México, es la siguiente:</w:t>
      </w:r>
      <w:r>
        <w:rPr>
          <w:rStyle w:val="Refdenotaalpie"/>
          <w:rFonts w:cs="Arial"/>
          <w:szCs w:val="24"/>
        </w:rPr>
        <w:footnoteReference w:id="2"/>
      </w:r>
    </w:p>
    <w:p w:rsidR="007C47E7" w:rsidRPr="00103579" w:rsidRDefault="007C47E7" w:rsidP="007C47E7">
      <w:pPr>
        <w:spacing w:after="0"/>
        <w:rPr>
          <w:rFonts w:cs="Arial"/>
          <w:szCs w:val="24"/>
        </w:rPr>
      </w:pPr>
    </w:p>
    <w:p w:rsidR="007C47E7" w:rsidRPr="00274EB7" w:rsidRDefault="007C47E7" w:rsidP="007C47E7">
      <w:pPr>
        <w:spacing w:after="0"/>
        <w:rPr>
          <w:rFonts w:cs="Arial"/>
          <w:szCs w:val="24"/>
        </w:rPr>
      </w:pPr>
      <w:r w:rsidRPr="00103579">
        <w:rPr>
          <w:rFonts w:cs="Arial"/>
          <w:szCs w:val="24"/>
        </w:rPr>
        <w:t>El Secretario de Gobernación Miguel Ángel Osorio Chong señaló:</w:t>
      </w:r>
      <w:r>
        <w:rPr>
          <w:rFonts w:cs="Arial"/>
          <w:szCs w:val="24"/>
        </w:rPr>
        <w:t xml:space="preserve"> </w:t>
      </w:r>
      <w:r w:rsidRPr="00274EB7">
        <w:rPr>
          <w:rFonts w:cs="Arial"/>
          <w:szCs w:val="24"/>
        </w:rPr>
        <w:t>"Al clausurar los trabajos de la XXXIII Asamblea Plenaria de la Conferencia Nacional de Procuración de Justicia, […] dijo que gracias a las acciones entre poderes y órdenes de gobierno, el nuevo modelo de justicia penal ya opera en mil 450 municipios de 31 entidades federativas, donde habita el 61 por ciento de los ciudadanos de este país"</w:t>
      </w:r>
      <w:r w:rsidRPr="00274EB7">
        <w:rPr>
          <w:rStyle w:val="Refdenotaalpie"/>
          <w:rFonts w:cs="Arial"/>
          <w:szCs w:val="24"/>
        </w:rPr>
        <w:footnoteReference w:id="3"/>
      </w:r>
      <w:r w:rsidRPr="00274EB7">
        <w:rPr>
          <w:rFonts w:cs="Arial"/>
          <w:szCs w:val="24"/>
        </w:rPr>
        <w:t>.</w:t>
      </w:r>
    </w:p>
    <w:p w:rsidR="007C47E7" w:rsidRPr="00103579" w:rsidRDefault="007C47E7" w:rsidP="007C47E7">
      <w:pPr>
        <w:spacing w:after="0"/>
        <w:rPr>
          <w:rFonts w:cs="Arial"/>
          <w:szCs w:val="24"/>
        </w:rPr>
      </w:pPr>
    </w:p>
    <w:p w:rsidR="007C47E7" w:rsidRPr="00274EB7" w:rsidRDefault="007C47E7" w:rsidP="007C47E7">
      <w:pPr>
        <w:spacing w:after="0"/>
        <w:rPr>
          <w:rFonts w:cs="Arial"/>
          <w:szCs w:val="24"/>
        </w:rPr>
      </w:pPr>
      <w:r w:rsidRPr="00103579">
        <w:rPr>
          <w:rFonts w:cs="Arial"/>
          <w:szCs w:val="24"/>
        </w:rPr>
        <w:t>Asimismo, en cuanto a los recursos que se han destinado para la implementación del sistema procesal penal acusatorio en el país, el Secretario de Gobernación señaló que:</w:t>
      </w:r>
      <w:r>
        <w:rPr>
          <w:rFonts w:cs="Arial"/>
          <w:szCs w:val="24"/>
        </w:rPr>
        <w:t xml:space="preserve"> </w:t>
      </w:r>
      <w:r w:rsidRPr="00274EB7">
        <w:rPr>
          <w:rFonts w:cs="Arial"/>
          <w:szCs w:val="24"/>
        </w:rPr>
        <w:t>"[…] de 2013 a 2015 se destinaron casi 10 mil millones de pesos para impulsar la implementación del Sistema Acusatorio en los estados. “Ahora, debemos redoblar el paso, para que tal y como lo establece la Constitución, el 18 de junio de 2016, todos los mexicanos puedan acceder a una justicia penal más transparente y eficaz.</w:t>
      </w:r>
      <w:r>
        <w:rPr>
          <w:rFonts w:cs="Arial"/>
          <w:szCs w:val="24"/>
        </w:rPr>
        <w:t xml:space="preserve"> </w:t>
      </w:r>
      <w:r w:rsidRPr="00274EB7">
        <w:rPr>
          <w:rFonts w:cs="Arial"/>
          <w:szCs w:val="24"/>
        </w:rPr>
        <w:t>Comentó que se trata del cambio jurídico […] más profundo que nuestro país ha experimentado en los últimos 100 años, y es deber de todos nosotros estar a la altura de esta transformación.</w:t>
      </w:r>
      <w:r>
        <w:rPr>
          <w:rFonts w:cs="Arial"/>
          <w:szCs w:val="24"/>
        </w:rPr>
        <w:t xml:space="preserve"> </w:t>
      </w:r>
      <w:r w:rsidRPr="00274EB7">
        <w:rPr>
          <w:rFonts w:cs="Arial"/>
          <w:szCs w:val="24"/>
        </w:rPr>
        <w:t>Porque una justicia efectiva es la base para consolidar un México de seguridad y legalidad</w:t>
      </w:r>
      <w:r>
        <w:rPr>
          <w:rFonts w:cs="Arial"/>
          <w:szCs w:val="24"/>
        </w:rPr>
        <w:t>.</w:t>
      </w:r>
      <w:r w:rsidRPr="00274EB7">
        <w:rPr>
          <w:rStyle w:val="Refdenotaalpie"/>
          <w:rFonts w:cs="Arial"/>
          <w:szCs w:val="24"/>
        </w:rPr>
        <w:footnoteReference w:id="4"/>
      </w:r>
    </w:p>
    <w:p w:rsidR="007C47E7" w:rsidRPr="00274EB7" w:rsidRDefault="007C47E7" w:rsidP="007C47E7">
      <w:pPr>
        <w:spacing w:after="0"/>
        <w:rPr>
          <w:rFonts w:cs="Arial"/>
          <w:szCs w:val="24"/>
        </w:rPr>
      </w:pPr>
    </w:p>
    <w:p w:rsidR="007C47E7" w:rsidRPr="00A26353" w:rsidRDefault="007C47E7" w:rsidP="007C47E7">
      <w:pPr>
        <w:spacing w:after="0"/>
        <w:rPr>
          <w:rFonts w:cs="Arial"/>
          <w:szCs w:val="24"/>
        </w:rPr>
      </w:pPr>
      <w:r w:rsidRPr="00274EB7">
        <w:rPr>
          <w:rFonts w:cs="Arial"/>
          <w:szCs w:val="24"/>
        </w:rPr>
        <w:t>Por su parte, la titular de la Secretaría Técnica para la implementación de la reforma constitucional, en el evento antes re</w:t>
      </w:r>
      <w:r w:rsidRPr="00103579">
        <w:rPr>
          <w:rFonts w:cs="Arial"/>
          <w:szCs w:val="24"/>
        </w:rPr>
        <w:t>ferido de igual forma</w:t>
      </w:r>
      <w:r>
        <w:rPr>
          <w:rFonts w:cs="Arial"/>
          <w:szCs w:val="24"/>
        </w:rPr>
        <w:t xml:space="preserve"> </w:t>
      </w:r>
      <w:r w:rsidRPr="00A26353">
        <w:rPr>
          <w:rFonts w:cs="Arial"/>
          <w:szCs w:val="24"/>
        </w:rPr>
        <w:t xml:space="preserve">María de los Ángeles </w:t>
      </w:r>
      <w:proofErr w:type="spellStart"/>
      <w:r w:rsidRPr="00A26353">
        <w:rPr>
          <w:rFonts w:cs="Arial"/>
          <w:szCs w:val="24"/>
        </w:rPr>
        <w:t>Fromow</w:t>
      </w:r>
      <w:proofErr w:type="spellEnd"/>
      <w:r w:rsidRPr="00A26353">
        <w:rPr>
          <w:rFonts w:cs="Arial"/>
          <w:szCs w:val="24"/>
        </w:rPr>
        <w:t xml:space="preserve"> Rangel, secretaria Técnica del Consejo, </w:t>
      </w:r>
      <w:r>
        <w:rPr>
          <w:rFonts w:cs="Arial"/>
          <w:szCs w:val="24"/>
        </w:rPr>
        <w:t>"…</w:t>
      </w:r>
      <w:r w:rsidRPr="00A26353">
        <w:rPr>
          <w:rFonts w:cs="Arial"/>
          <w:szCs w:val="24"/>
        </w:rPr>
        <w:t>exhortó a redoblar esfuerzos en el trabajo que se realiza en esta materia.</w:t>
      </w:r>
      <w:r>
        <w:rPr>
          <w:rFonts w:cs="Arial"/>
          <w:szCs w:val="24"/>
        </w:rPr>
        <w:t xml:space="preserve"> </w:t>
      </w:r>
      <w:r w:rsidRPr="00A26353">
        <w:rPr>
          <w:rFonts w:cs="Arial"/>
          <w:szCs w:val="24"/>
        </w:rPr>
        <w:t>Dijo, que a la fecha, el 61% de la población está cubierto con este nuevo sistema y ahora otro de los grandes retos será la capacitación de 333 mil policías, además de ministerios públicos, jueces y peritos</w:t>
      </w:r>
      <w:r>
        <w:rPr>
          <w:rFonts w:cs="Arial"/>
          <w:szCs w:val="24"/>
        </w:rPr>
        <w:t>"</w:t>
      </w:r>
      <w:r w:rsidRPr="00A26353">
        <w:rPr>
          <w:rStyle w:val="Refdenotaalpie"/>
          <w:rFonts w:cs="Arial"/>
          <w:szCs w:val="24"/>
        </w:rPr>
        <w:footnoteReference w:id="5"/>
      </w:r>
    </w:p>
    <w:p w:rsidR="007C47E7" w:rsidRPr="00103579" w:rsidRDefault="007C47E7" w:rsidP="007C47E7">
      <w:pPr>
        <w:spacing w:after="0"/>
        <w:rPr>
          <w:rFonts w:cs="Arial"/>
          <w:szCs w:val="24"/>
        </w:rPr>
      </w:pPr>
    </w:p>
    <w:p w:rsidR="007C47E7" w:rsidRPr="00103579" w:rsidRDefault="007C47E7" w:rsidP="007C47E7">
      <w:pPr>
        <w:spacing w:after="0"/>
        <w:rPr>
          <w:rFonts w:cs="Arial"/>
          <w:szCs w:val="24"/>
        </w:rPr>
      </w:pPr>
      <w:r w:rsidRPr="00103579">
        <w:rPr>
          <w:rFonts w:cs="Arial"/>
          <w:szCs w:val="24"/>
        </w:rPr>
        <w:t xml:space="preserve">De igual forma, </w:t>
      </w:r>
      <w:proofErr w:type="spellStart"/>
      <w:r w:rsidRPr="00103579">
        <w:rPr>
          <w:rFonts w:cs="Arial"/>
          <w:szCs w:val="24"/>
        </w:rPr>
        <w:t>Fromow</w:t>
      </w:r>
      <w:proofErr w:type="spellEnd"/>
      <w:r w:rsidRPr="00103579">
        <w:rPr>
          <w:rFonts w:cs="Arial"/>
          <w:szCs w:val="24"/>
        </w:rPr>
        <w:t xml:space="preserve"> Rangel detalló en cuanto a la incorporación del sistema acusatorio en las diversas entidades federativas lo siguiente:</w:t>
      </w:r>
    </w:p>
    <w:p w:rsidR="007C47E7" w:rsidRPr="00103579" w:rsidRDefault="007C47E7" w:rsidP="007C47E7">
      <w:pPr>
        <w:spacing w:after="0"/>
        <w:rPr>
          <w:rFonts w:cs="Arial"/>
          <w:szCs w:val="24"/>
        </w:rPr>
      </w:pPr>
    </w:p>
    <w:p w:rsidR="007C47E7" w:rsidRPr="00103579" w:rsidRDefault="007C47E7" w:rsidP="007C47E7">
      <w:pPr>
        <w:spacing w:after="0"/>
        <w:ind w:left="567" w:right="616"/>
        <w:rPr>
          <w:rFonts w:cs="Arial"/>
          <w:i/>
          <w:szCs w:val="24"/>
        </w:rPr>
      </w:pPr>
      <w:r w:rsidRPr="00103579">
        <w:rPr>
          <w:rFonts w:cs="Arial"/>
          <w:i/>
          <w:szCs w:val="24"/>
        </w:rPr>
        <w:t>[…] los estados de Chihuahua, Durango, Estado de México, Morelos, Nuevo León y Yucatán tienen implementado al 100% el nuevo modelo de justicia, mientras que el estado de Sonora tiene cero avances.</w:t>
      </w:r>
    </w:p>
    <w:p w:rsidR="007C47E7" w:rsidRPr="00103579" w:rsidRDefault="007C47E7" w:rsidP="007C47E7">
      <w:pPr>
        <w:spacing w:after="0"/>
        <w:ind w:left="567" w:right="616"/>
        <w:rPr>
          <w:rFonts w:cs="Arial"/>
          <w:i/>
          <w:szCs w:val="24"/>
        </w:rPr>
      </w:pPr>
    </w:p>
    <w:p w:rsidR="007C47E7" w:rsidRPr="00103579" w:rsidRDefault="007C47E7" w:rsidP="007C47E7">
      <w:pPr>
        <w:spacing w:after="0"/>
        <w:ind w:left="567" w:right="616"/>
        <w:rPr>
          <w:rFonts w:cs="Arial"/>
          <w:i/>
          <w:szCs w:val="24"/>
        </w:rPr>
      </w:pPr>
      <w:r w:rsidRPr="00103579">
        <w:rPr>
          <w:rFonts w:cs="Arial"/>
          <w:i/>
          <w:szCs w:val="24"/>
        </w:rPr>
        <w:t>Hasta mayo de 2015, 30 entidades operan el Sistema Procesal Penal Acusatorio (SPPA) de forma total o parcial, mientras que 23 de estas entidades lo hacen con el Código Nacional de Procedimientos Penales (CNPP).</w:t>
      </w:r>
    </w:p>
    <w:p w:rsidR="007C47E7" w:rsidRPr="00103579" w:rsidRDefault="007C47E7" w:rsidP="007C47E7">
      <w:pPr>
        <w:spacing w:after="0"/>
        <w:ind w:left="567" w:right="616"/>
        <w:rPr>
          <w:rFonts w:cs="Arial"/>
          <w:i/>
          <w:szCs w:val="24"/>
        </w:rPr>
      </w:pPr>
    </w:p>
    <w:p w:rsidR="007C47E7" w:rsidRPr="00103579" w:rsidRDefault="007C47E7" w:rsidP="007C47E7">
      <w:pPr>
        <w:spacing w:after="0"/>
        <w:ind w:left="567" w:right="616"/>
        <w:rPr>
          <w:rFonts w:cs="Arial"/>
          <w:i/>
          <w:szCs w:val="24"/>
        </w:rPr>
      </w:pPr>
      <w:r w:rsidRPr="00103579">
        <w:rPr>
          <w:rFonts w:cs="Arial"/>
          <w:i/>
          <w:szCs w:val="24"/>
        </w:rPr>
        <w:t>Seis entidades operan en todo su territorio el Nuevo Sistema de Justicia Penal (NSJP): Chihuahua, Durango, Estado de México, Morelos, Nuevo León y Yucatán. Las otras 24 entidades lo operan de forma parcial, en alguna parte de su territorio.</w:t>
      </w:r>
    </w:p>
    <w:p w:rsidR="007C47E7" w:rsidRPr="00103579" w:rsidRDefault="007C47E7" w:rsidP="007C47E7">
      <w:pPr>
        <w:spacing w:after="0"/>
        <w:ind w:left="567" w:right="616"/>
        <w:rPr>
          <w:rFonts w:cs="Arial"/>
          <w:i/>
          <w:szCs w:val="24"/>
        </w:rPr>
      </w:pPr>
    </w:p>
    <w:p w:rsidR="007C47E7" w:rsidRPr="00103579" w:rsidRDefault="007C47E7" w:rsidP="007C47E7">
      <w:pPr>
        <w:spacing w:after="0"/>
        <w:ind w:left="567" w:right="616"/>
        <w:rPr>
          <w:rFonts w:cs="Arial"/>
          <w:i/>
          <w:szCs w:val="24"/>
        </w:rPr>
      </w:pPr>
      <w:r w:rsidRPr="00103579">
        <w:rPr>
          <w:rFonts w:cs="Arial"/>
          <w:i/>
          <w:szCs w:val="24"/>
        </w:rPr>
        <w:t>Sonora es la entidad más rezagada en la operación del NSJP.</w:t>
      </w:r>
    </w:p>
    <w:p w:rsidR="007C47E7" w:rsidRPr="00103579" w:rsidRDefault="007C47E7" w:rsidP="007C47E7">
      <w:pPr>
        <w:spacing w:after="0"/>
        <w:ind w:left="567" w:right="616"/>
        <w:rPr>
          <w:rFonts w:cs="Arial"/>
          <w:i/>
          <w:szCs w:val="24"/>
        </w:rPr>
      </w:pPr>
    </w:p>
    <w:p w:rsidR="007C47E7" w:rsidRDefault="007C47E7" w:rsidP="007C47E7">
      <w:pPr>
        <w:spacing w:after="0"/>
        <w:ind w:left="567" w:right="616"/>
        <w:rPr>
          <w:rFonts w:cs="Arial"/>
          <w:i/>
          <w:szCs w:val="24"/>
        </w:rPr>
      </w:pPr>
      <w:r w:rsidRPr="00103579">
        <w:rPr>
          <w:rFonts w:cs="Arial"/>
          <w:i/>
          <w:szCs w:val="24"/>
        </w:rPr>
        <w:t>Dato: Hay un avance nacional en la alineación normativa de 402 leyes al SPPA y 377 al CNPP, de un total de 448; lo que significa un avance del 90% y 84% respectivamente</w:t>
      </w:r>
      <w:r w:rsidRPr="00103579">
        <w:rPr>
          <w:rStyle w:val="Refdenotaalpie"/>
          <w:rFonts w:cs="Arial"/>
          <w:i/>
          <w:szCs w:val="24"/>
        </w:rPr>
        <w:footnoteReference w:id="6"/>
      </w:r>
      <w:r w:rsidRPr="00103579">
        <w:rPr>
          <w:rFonts w:cs="Arial"/>
          <w:i/>
          <w:szCs w:val="24"/>
        </w:rPr>
        <w:t>.</w:t>
      </w:r>
    </w:p>
    <w:p w:rsidR="007C47E7" w:rsidRPr="00103579" w:rsidRDefault="007C47E7" w:rsidP="007C47E7">
      <w:pPr>
        <w:spacing w:after="0"/>
        <w:ind w:left="567" w:right="616"/>
        <w:rPr>
          <w:rFonts w:cs="Arial"/>
          <w:i/>
          <w:szCs w:val="24"/>
        </w:rPr>
      </w:pPr>
    </w:p>
    <w:p w:rsidR="007C47E7" w:rsidRPr="00103579" w:rsidRDefault="007C47E7" w:rsidP="007C47E7">
      <w:pPr>
        <w:spacing w:after="0"/>
        <w:rPr>
          <w:rFonts w:cs="Arial"/>
          <w:szCs w:val="24"/>
        </w:rPr>
      </w:pPr>
      <w:r w:rsidRPr="00103579">
        <w:rPr>
          <w:rFonts w:cs="Arial"/>
          <w:szCs w:val="24"/>
        </w:rPr>
        <w:t>Ahora bien, ¿qué significa lo anterior?, que a menos de 10 meses para que el sistema esté operando en todo el país, los avances en la implementación y operación del sistema son bastante desiguales, pese a lo que las cifras, en una primera apariencia pudieran indicar.</w:t>
      </w:r>
    </w:p>
    <w:p w:rsidR="007C47E7" w:rsidRPr="00103579" w:rsidRDefault="007C47E7" w:rsidP="007C47E7">
      <w:pPr>
        <w:spacing w:after="0"/>
        <w:rPr>
          <w:rFonts w:cs="Arial"/>
          <w:szCs w:val="24"/>
        </w:rPr>
      </w:pPr>
    </w:p>
    <w:p w:rsidR="007C47E7" w:rsidRPr="00103579" w:rsidRDefault="007C47E7" w:rsidP="007C47E7">
      <w:pPr>
        <w:spacing w:after="0" w:line="240" w:lineRule="auto"/>
        <w:rPr>
          <w:rFonts w:cs="Arial"/>
          <w:szCs w:val="24"/>
        </w:rPr>
      </w:pPr>
      <w:r w:rsidRPr="00103579">
        <w:rPr>
          <w:rFonts w:cs="Arial"/>
          <w:szCs w:val="24"/>
        </w:rPr>
        <w:t>El Centro de Investigación para el Desarrollo (CIDAC) da cuenta de esta situación en los siguientes términos:</w:t>
      </w:r>
    </w:p>
    <w:p w:rsidR="007C47E7" w:rsidRPr="00103579" w:rsidRDefault="007C47E7" w:rsidP="007C47E7">
      <w:pPr>
        <w:spacing w:after="0" w:line="240" w:lineRule="auto"/>
        <w:rPr>
          <w:rFonts w:cs="Arial"/>
          <w:szCs w:val="24"/>
        </w:rPr>
      </w:pPr>
    </w:p>
    <w:p w:rsidR="007C47E7" w:rsidRPr="00103579" w:rsidRDefault="007C47E7" w:rsidP="007C47E7">
      <w:pPr>
        <w:numPr>
          <w:ilvl w:val="0"/>
          <w:numId w:val="7"/>
        </w:numPr>
        <w:spacing w:after="0" w:line="240" w:lineRule="auto"/>
        <w:ind w:left="567" w:right="616" w:hanging="578"/>
        <w:contextualSpacing/>
        <w:rPr>
          <w:rFonts w:cs="Arial"/>
          <w:i/>
          <w:szCs w:val="24"/>
        </w:rPr>
      </w:pPr>
      <w:r w:rsidRPr="00103579">
        <w:rPr>
          <w:rFonts w:cs="Arial"/>
          <w:i/>
          <w:szCs w:val="24"/>
        </w:rPr>
        <w:t>Es clara la inexistencia de criterios homogéneos y compartidos por las instituciones operadoras a nivel local y federal para medir y dar seguimiento al proceso de implementación y operación del NSJ acusatorio.</w:t>
      </w:r>
    </w:p>
    <w:p w:rsidR="007C47E7" w:rsidRPr="00103579" w:rsidRDefault="007C47E7" w:rsidP="007C47E7">
      <w:pPr>
        <w:numPr>
          <w:ilvl w:val="0"/>
          <w:numId w:val="6"/>
        </w:numPr>
        <w:spacing w:after="0" w:line="240" w:lineRule="auto"/>
        <w:ind w:left="567" w:right="616"/>
        <w:contextualSpacing/>
        <w:rPr>
          <w:rFonts w:cs="Arial"/>
          <w:i/>
          <w:szCs w:val="24"/>
        </w:rPr>
      </w:pPr>
      <w:r w:rsidRPr="00103579">
        <w:rPr>
          <w:rFonts w:cs="Arial"/>
          <w:i/>
          <w:szCs w:val="24"/>
        </w:rPr>
        <w:t>La falta de información completa, comparable y actualizada dificulta una toma de decisiones que garantice en mayor medida el uso óptimo de los recursos financieros para apoyar el proceso de implementación.</w:t>
      </w:r>
    </w:p>
    <w:p w:rsidR="007C47E7" w:rsidRPr="00103579" w:rsidRDefault="007C47E7" w:rsidP="007C47E7">
      <w:pPr>
        <w:numPr>
          <w:ilvl w:val="0"/>
          <w:numId w:val="6"/>
        </w:numPr>
        <w:spacing w:after="0" w:line="240" w:lineRule="auto"/>
        <w:ind w:left="567" w:right="616"/>
        <w:contextualSpacing/>
        <w:rPr>
          <w:rFonts w:cs="Arial"/>
          <w:i/>
          <w:szCs w:val="24"/>
        </w:rPr>
      </w:pPr>
      <w:r w:rsidRPr="00103579">
        <w:rPr>
          <w:rFonts w:cs="Arial"/>
          <w:i/>
          <w:szCs w:val="24"/>
        </w:rPr>
        <w:lastRenderedPageBreak/>
        <w:t>Los artículos transitorios de los códigos aprobados no se apegan a la realidad de las instituciones, es decir, no se basan en un conocimiento sistemático, amplio y detallado de la situación real, de cada SJP, de los retos que deben enfrentar y la proyección de sus necesidades.</w:t>
      </w:r>
    </w:p>
    <w:p w:rsidR="007C47E7" w:rsidRPr="00103579" w:rsidRDefault="007C47E7" w:rsidP="007C47E7">
      <w:pPr>
        <w:numPr>
          <w:ilvl w:val="0"/>
          <w:numId w:val="6"/>
        </w:numPr>
        <w:spacing w:after="0" w:line="240" w:lineRule="auto"/>
        <w:ind w:left="567" w:right="616"/>
        <w:contextualSpacing/>
        <w:rPr>
          <w:rFonts w:cs="Arial"/>
          <w:i/>
          <w:szCs w:val="24"/>
        </w:rPr>
      </w:pPr>
      <w:r w:rsidRPr="00103579">
        <w:rPr>
          <w:rFonts w:cs="Arial"/>
          <w:i/>
          <w:szCs w:val="24"/>
        </w:rPr>
        <w:t>Los planes de implementación son documentos poco utilizados, inexistentes o que fueron elaborados después de la implementación de la reforma penal.</w:t>
      </w:r>
    </w:p>
    <w:p w:rsidR="007C47E7" w:rsidRPr="00103579" w:rsidRDefault="007C47E7" w:rsidP="007C47E7">
      <w:pPr>
        <w:numPr>
          <w:ilvl w:val="0"/>
          <w:numId w:val="6"/>
        </w:numPr>
        <w:spacing w:after="0" w:line="240" w:lineRule="auto"/>
        <w:ind w:left="567" w:right="616"/>
        <w:contextualSpacing/>
        <w:rPr>
          <w:rFonts w:cs="Arial"/>
          <w:i/>
          <w:szCs w:val="24"/>
        </w:rPr>
      </w:pPr>
      <w:r w:rsidRPr="00103579">
        <w:rPr>
          <w:rFonts w:cs="Arial"/>
          <w:i/>
          <w:szCs w:val="24"/>
        </w:rPr>
        <w:t>Las instituciones están implementando el SJP a distintos ritmos y con distinta calidad, lo que ocasiona asimetrías tanto en el proceso de implementación como en la operación.</w:t>
      </w:r>
    </w:p>
    <w:p w:rsidR="007C47E7" w:rsidRPr="00103579" w:rsidRDefault="007C47E7" w:rsidP="007C47E7">
      <w:pPr>
        <w:numPr>
          <w:ilvl w:val="0"/>
          <w:numId w:val="6"/>
        </w:numPr>
        <w:spacing w:after="0" w:line="240" w:lineRule="auto"/>
        <w:ind w:left="567" w:right="616"/>
        <w:contextualSpacing/>
        <w:rPr>
          <w:rFonts w:cs="Arial"/>
          <w:i/>
          <w:szCs w:val="24"/>
        </w:rPr>
      </w:pPr>
      <w:r w:rsidRPr="00103579">
        <w:rPr>
          <w:rFonts w:cs="Arial"/>
          <w:i/>
          <w:szCs w:val="24"/>
        </w:rPr>
        <w:t>En cuanto a la operación, en los códigos procesales penales se adoptaron medianamente todos los principios del sistema penal acusatorio.</w:t>
      </w:r>
    </w:p>
    <w:p w:rsidR="007C47E7" w:rsidRPr="00103579" w:rsidRDefault="007C47E7" w:rsidP="007C47E7">
      <w:pPr>
        <w:numPr>
          <w:ilvl w:val="0"/>
          <w:numId w:val="6"/>
        </w:numPr>
        <w:spacing w:after="0" w:line="240" w:lineRule="auto"/>
        <w:ind w:left="567" w:right="616"/>
        <w:contextualSpacing/>
        <w:rPr>
          <w:rFonts w:cs="Arial"/>
          <w:i/>
          <w:szCs w:val="24"/>
        </w:rPr>
      </w:pPr>
      <w:r w:rsidRPr="00103579">
        <w:rPr>
          <w:rFonts w:cs="Arial"/>
          <w:i/>
          <w:szCs w:val="24"/>
        </w:rPr>
        <w:t>No existe homogeneidad en los tipos de mecanismos de justicia alternativa en materia penal.</w:t>
      </w:r>
    </w:p>
    <w:p w:rsidR="007C47E7" w:rsidRPr="00103579" w:rsidRDefault="007C47E7" w:rsidP="007C47E7">
      <w:pPr>
        <w:numPr>
          <w:ilvl w:val="0"/>
          <w:numId w:val="6"/>
        </w:numPr>
        <w:spacing w:after="0" w:line="240" w:lineRule="auto"/>
        <w:ind w:left="567" w:right="616"/>
        <w:contextualSpacing/>
        <w:rPr>
          <w:rFonts w:cs="Arial"/>
          <w:i/>
          <w:szCs w:val="24"/>
        </w:rPr>
      </w:pPr>
      <w:r w:rsidRPr="00103579">
        <w:rPr>
          <w:rFonts w:cs="Arial"/>
          <w:i/>
          <w:szCs w:val="24"/>
        </w:rPr>
        <w:t>En el ámbito de ejecución de sanciones penales, destaca la ausencia del reconocimiento de los principios del modelo acusatorio en las audiencias desahogadas frente al Juez de Ejecución.</w:t>
      </w:r>
    </w:p>
    <w:p w:rsidR="007C47E7" w:rsidRPr="00103579" w:rsidRDefault="007C47E7" w:rsidP="007C47E7">
      <w:pPr>
        <w:numPr>
          <w:ilvl w:val="0"/>
          <w:numId w:val="6"/>
        </w:numPr>
        <w:spacing w:after="0" w:line="240" w:lineRule="auto"/>
        <w:ind w:left="567" w:right="616"/>
        <w:contextualSpacing/>
        <w:rPr>
          <w:rFonts w:cs="Arial"/>
          <w:i/>
          <w:szCs w:val="24"/>
        </w:rPr>
      </w:pPr>
      <w:r w:rsidRPr="00103579">
        <w:rPr>
          <w:rFonts w:cs="Arial"/>
          <w:i/>
          <w:szCs w:val="24"/>
        </w:rPr>
        <w:t>Falta desarrollar sistemas de seguimiento y evaluación homogéneos y compartidos, así como ofrecer la ejecución de planes integrales y mejorar los mecanismos de coordinación institucional.</w:t>
      </w:r>
    </w:p>
    <w:p w:rsidR="007C47E7" w:rsidRPr="00103579" w:rsidRDefault="007C47E7" w:rsidP="007C47E7">
      <w:pPr>
        <w:numPr>
          <w:ilvl w:val="0"/>
          <w:numId w:val="6"/>
        </w:numPr>
        <w:spacing w:after="0" w:line="240" w:lineRule="auto"/>
        <w:ind w:left="567" w:right="616"/>
        <w:contextualSpacing/>
        <w:rPr>
          <w:rFonts w:cs="Arial"/>
          <w:i/>
          <w:szCs w:val="24"/>
        </w:rPr>
      </w:pPr>
      <w:r w:rsidRPr="00103579">
        <w:rPr>
          <w:rFonts w:cs="Arial"/>
          <w:i/>
          <w:szCs w:val="24"/>
        </w:rPr>
        <w:t>Se deberán tener plantillas de personal “espejo” en las instituciones operadoras, tramitando y atendiendo causas del sistema anterior y el nuevo.</w:t>
      </w:r>
    </w:p>
    <w:p w:rsidR="007C47E7" w:rsidRPr="00103579" w:rsidRDefault="007C47E7" w:rsidP="007C47E7">
      <w:pPr>
        <w:numPr>
          <w:ilvl w:val="0"/>
          <w:numId w:val="6"/>
        </w:numPr>
        <w:spacing w:after="0" w:line="240" w:lineRule="auto"/>
        <w:ind w:left="567" w:right="616"/>
        <w:contextualSpacing/>
        <w:rPr>
          <w:rFonts w:cs="Arial"/>
          <w:i/>
          <w:szCs w:val="24"/>
        </w:rPr>
      </w:pPr>
      <w:r w:rsidRPr="00103579">
        <w:rPr>
          <w:rFonts w:cs="Arial"/>
          <w:i/>
          <w:szCs w:val="24"/>
        </w:rPr>
        <w:t>En 11 entidades federativas no existe información disponible para la ciudadanía del proceso de implementación de forma ordenada, a través de la promoción de esquemas de rendición de cuentas y responsabilidad de los funcionarios adscritos a instituciones de seguridad, procuración y administración de justicia.</w:t>
      </w:r>
    </w:p>
    <w:p w:rsidR="007C47E7" w:rsidRPr="00103579" w:rsidRDefault="007C47E7" w:rsidP="007C47E7">
      <w:pPr>
        <w:spacing w:after="0" w:line="240" w:lineRule="auto"/>
        <w:ind w:left="567" w:right="616"/>
        <w:rPr>
          <w:rFonts w:cs="Arial"/>
          <w:i/>
          <w:szCs w:val="24"/>
        </w:rPr>
      </w:pPr>
    </w:p>
    <w:p w:rsidR="007C47E7" w:rsidRPr="00103579" w:rsidRDefault="007C47E7" w:rsidP="007C47E7">
      <w:pPr>
        <w:spacing w:after="0" w:line="240" w:lineRule="auto"/>
        <w:ind w:left="567" w:right="616"/>
        <w:rPr>
          <w:rFonts w:cs="Arial"/>
          <w:i/>
          <w:szCs w:val="24"/>
        </w:rPr>
      </w:pPr>
      <w:r w:rsidRPr="00103579">
        <w:rPr>
          <w:rFonts w:cs="Arial"/>
          <w:i/>
          <w:szCs w:val="24"/>
        </w:rPr>
        <w:t>Con base en la metodología desarrollada por CIDAC, se realizó un ordenamiento de las entidades federativas en función del avance y calidad del proceso de implementación de la reforma penal para conocer el lugar que ocupa cada una.</w:t>
      </w:r>
    </w:p>
    <w:p w:rsidR="007C47E7" w:rsidRPr="00103579" w:rsidRDefault="007C47E7" w:rsidP="007C47E7">
      <w:pPr>
        <w:spacing w:after="0" w:line="240" w:lineRule="auto"/>
        <w:ind w:left="567" w:right="616"/>
        <w:rPr>
          <w:rFonts w:cs="Arial"/>
          <w:i/>
          <w:szCs w:val="24"/>
        </w:rPr>
      </w:pPr>
    </w:p>
    <w:p w:rsidR="007C47E7" w:rsidRPr="00103579" w:rsidRDefault="007C47E7" w:rsidP="007C47E7">
      <w:pPr>
        <w:spacing w:after="0" w:line="240" w:lineRule="auto"/>
        <w:ind w:left="567" w:right="616"/>
        <w:rPr>
          <w:rFonts w:cs="Arial"/>
          <w:szCs w:val="24"/>
        </w:rPr>
      </w:pPr>
      <w:r w:rsidRPr="00103579">
        <w:rPr>
          <w:rFonts w:cs="Arial"/>
          <w:i/>
          <w:szCs w:val="24"/>
        </w:rPr>
        <w:t>Se puede apreciar que los estados de Chihuahua, Nuevo León Baja California, Tabasco, Yucatán y Guanajuato, son los que presentan mayor desarrollo en su proceso y que ha sido de mejor calidad que los demás. En contraparte, las entidades de Guerrero, Querétaro, Tlaxcala, Estado de México, Jalisco y Zacatecas, son las que registran un menor progreso en comparación del resto de las entidades, por lo que representan áreas de oportunidad importantes</w:t>
      </w:r>
      <w:r w:rsidRPr="00103579">
        <w:rPr>
          <w:rFonts w:cs="Arial"/>
          <w:szCs w:val="24"/>
          <w:vertAlign w:val="superscript"/>
        </w:rPr>
        <w:footnoteReference w:id="7"/>
      </w:r>
      <w:r w:rsidRPr="00103579">
        <w:rPr>
          <w:rFonts w:cs="Arial"/>
          <w:i/>
          <w:szCs w:val="24"/>
        </w:rPr>
        <w:t>.</w:t>
      </w:r>
    </w:p>
    <w:p w:rsidR="007C47E7" w:rsidRPr="00103579" w:rsidRDefault="007C47E7" w:rsidP="007C47E7">
      <w:pPr>
        <w:spacing w:after="0"/>
        <w:rPr>
          <w:rFonts w:cs="Arial"/>
          <w:szCs w:val="24"/>
        </w:rPr>
      </w:pPr>
    </w:p>
    <w:p w:rsidR="007C47E7" w:rsidRPr="00103579" w:rsidRDefault="007C47E7" w:rsidP="007C47E7">
      <w:pPr>
        <w:spacing w:after="0" w:line="240" w:lineRule="auto"/>
        <w:rPr>
          <w:rFonts w:eastAsiaTheme="minorEastAsia"/>
          <w:szCs w:val="24"/>
          <w:lang w:val="es-ES" w:eastAsia="es-ES_tradnl"/>
        </w:rPr>
      </w:pPr>
      <w:r w:rsidRPr="00103579">
        <w:rPr>
          <w:rFonts w:eastAsiaTheme="minorEastAsia"/>
          <w:szCs w:val="24"/>
          <w:lang w:val="es-ES" w:eastAsia="es-ES_tradnl"/>
        </w:rPr>
        <w:t>Asimismo, estimaciones realizadas muestran que será necesario erogar una cantidad importante de recursos para realizar los cambios normativos, estructurales y culturales que demanda la transición a menos de un año para que se cumpla el plazo:</w:t>
      </w:r>
    </w:p>
    <w:p w:rsidR="007C47E7" w:rsidRPr="00103579" w:rsidRDefault="007C47E7" w:rsidP="007C47E7">
      <w:pPr>
        <w:spacing w:after="0" w:line="240" w:lineRule="auto"/>
        <w:rPr>
          <w:rFonts w:eastAsiaTheme="minorEastAsia"/>
          <w:szCs w:val="24"/>
          <w:lang w:val="es-ES" w:eastAsia="es-ES_tradnl"/>
        </w:rPr>
      </w:pPr>
    </w:p>
    <w:p w:rsidR="007C47E7" w:rsidRPr="00103579" w:rsidRDefault="007C47E7" w:rsidP="007C47E7">
      <w:pPr>
        <w:spacing w:after="0" w:line="240" w:lineRule="auto"/>
        <w:ind w:left="567" w:right="616"/>
        <w:rPr>
          <w:rFonts w:cs="Arial"/>
          <w:i/>
          <w:szCs w:val="24"/>
        </w:rPr>
      </w:pPr>
      <w:r w:rsidRPr="00103579">
        <w:rPr>
          <w:rFonts w:cs="Arial"/>
          <w:i/>
          <w:szCs w:val="24"/>
        </w:rPr>
        <w:t>Desde que se aprobó la reforma constitucional el Congreso de la Unión ha asignado un total de $2,268, 852, 538.00, para apoyar a las entidades federativas en la implementación de la reforma penal, con miras a que el nuevo sistema de justicia esté totalmente vigente dentro del plazo perentorio de ocho años. Cinco años después, ni siquiera hay consenso para cuantificar los avances y resultados de la implementación</w:t>
      </w:r>
      <w:r w:rsidRPr="00103579">
        <w:rPr>
          <w:rFonts w:cs="Arial"/>
          <w:i/>
          <w:szCs w:val="24"/>
          <w:vertAlign w:val="superscript"/>
        </w:rPr>
        <w:footnoteReference w:id="8"/>
      </w:r>
      <w:r w:rsidRPr="00103579">
        <w:rPr>
          <w:rFonts w:cs="Arial"/>
          <w:i/>
          <w:szCs w:val="24"/>
        </w:rPr>
        <w:t>.</w:t>
      </w:r>
    </w:p>
    <w:p w:rsidR="007C47E7" w:rsidRPr="00103579" w:rsidRDefault="007C47E7" w:rsidP="007C47E7">
      <w:pPr>
        <w:spacing w:after="0" w:line="240" w:lineRule="auto"/>
        <w:rPr>
          <w:rFonts w:cs="Arial"/>
          <w:szCs w:val="24"/>
        </w:rPr>
      </w:pPr>
    </w:p>
    <w:p w:rsidR="007C47E7" w:rsidRPr="00103579" w:rsidRDefault="007C47E7" w:rsidP="007C47E7">
      <w:pPr>
        <w:spacing w:after="0" w:line="240" w:lineRule="auto"/>
        <w:ind w:left="567" w:right="616"/>
        <w:rPr>
          <w:rFonts w:cs="Arial"/>
          <w:i/>
          <w:szCs w:val="24"/>
        </w:rPr>
      </w:pPr>
      <w:r w:rsidRPr="00103579">
        <w:rPr>
          <w:rFonts w:cs="Arial"/>
          <w:i/>
          <w:szCs w:val="24"/>
        </w:rPr>
        <w:lastRenderedPageBreak/>
        <w:t xml:space="preserve">[…] Con respecto a los costos para la implementación de este sistema, la titular de la </w:t>
      </w:r>
      <w:proofErr w:type="spellStart"/>
      <w:r w:rsidRPr="00103579">
        <w:rPr>
          <w:rFonts w:cs="Arial"/>
          <w:i/>
          <w:szCs w:val="24"/>
        </w:rPr>
        <w:t>Setec</w:t>
      </w:r>
      <w:proofErr w:type="spellEnd"/>
      <w:r w:rsidRPr="00103579">
        <w:rPr>
          <w:rFonts w:cs="Arial"/>
          <w:i/>
          <w:szCs w:val="24"/>
        </w:rPr>
        <w:t xml:space="preserve">, María de los Ángeles </w:t>
      </w:r>
      <w:proofErr w:type="spellStart"/>
      <w:r w:rsidRPr="00103579">
        <w:rPr>
          <w:rFonts w:cs="Arial"/>
          <w:i/>
          <w:szCs w:val="24"/>
        </w:rPr>
        <w:t>Fromow</w:t>
      </w:r>
      <w:proofErr w:type="spellEnd"/>
      <w:r w:rsidRPr="00103579">
        <w:rPr>
          <w:rFonts w:cs="Arial"/>
          <w:i/>
          <w:szCs w:val="24"/>
        </w:rPr>
        <w:t>, estimó una cifra global mínima de 35 mil millones de pesos, de los cuales aproximadamente 90 por ciento se requieren para infraestructura y equipamiento. Con estos recursos, el objetivo es cumplir la obligación constitucional de echar a andar en todo el país este nuevo sistema en 2016, "fecha en la que ya deberán estar reformadas 21 leyes y construidos 44 centros de justicia penal", afirmó la funcionaria.</w:t>
      </w:r>
    </w:p>
    <w:p w:rsidR="007C47E7" w:rsidRPr="00103579" w:rsidRDefault="007C47E7" w:rsidP="007C47E7">
      <w:pPr>
        <w:spacing w:after="0" w:line="240" w:lineRule="auto"/>
        <w:ind w:left="567" w:right="616"/>
        <w:rPr>
          <w:rFonts w:cs="Arial"/>
          <w:i/>
          <w:szCs w:val="24"/>
        </w:rPr>
      </w:pPr>
    </w:p>
    <w:p w:rsidR="007C47E7" w:rsidRPr="00103579" w:rsidRDefault="007C47E7" w:rsidP="007C47E7">
      <w:pPr>
        <w:spacing w:after="0" w:line="240" w:lineRule="auto"/>
        <w:ind w:left="567" w:right="616"/>
        <w:rPr>
          <w:rFonts w:cs="Arial"/>
          <w:i/>
          <w:szCs w:val="24"/>
        </w:rPr>
      </w:pPr>
      <w:r w:rsidRPr="00103579">
        <w:rPr>
          <w:rFonts w:cs="Arial"/>
          <w:i/>
          <w:szCs w:val="24"/>
        </w:rPr>
        <w:t xml:space="preserve">De acuerdo con José Ramón </w:t>
      </w:r>
      <w:proofErr w:type="spellStart"/>
      <w:r w:rsidRPr="00103579">
        <w:rPr>
          <w:rFonts w:cs="Arial"/>
          <w:i/>
          <w:szCs w:val="24"/>
        </w:rPr>
        <w:t>Amieva</w:t>
      </w:r>
      <w:proofErr w:type="spellEnd"/>
      <w:r w:rsidRPr="00103579">
        <w:rPr>
          <w:rFonts w:cs="Arial"/>
          <w:i/>
          <w:szCs w:val="24"/>
        </w:rPr>
        <w:t>, consejero jurídico del D.F., solo para implementar los juicios orales en la Ciudad de México, se requieren entre 4 mil millones y 5 mil millones de pesos en 2014, aunque el costo total de la reforma penal en la capital, según proyecciones oficiales, es de poco más de 7 mil 640 millones, concluye Arellano Trejo</w:t>
      </w:r>
      <w:r w:rsidRPr="00103579">
        <w:rPr>
          <w:rFonts w:cs="Arial"/>
          <w:i/>
          <w:szCs w:val="24"/>
          <w:vertAlign w:val="superscript"/>
        </w:rPr>
        <w:footnoteReference w:id="9"/>
      </w:r>
      <w:r w:rsidRPr="00103579">
        <w:rPr>
          <w:rFonts w:cs="Arial"/>
          <w:i/>
          <w:szCs w:val="24"/>
        </w:rPr>
        <w:t>.</w:t>
      </w:r>
    </w:p>
    <w:p w:rsidR="007C47E7" w:rsidRPr="00103579" w:rsidRDefault="007C47E7" w:rsidP="007C47E7">
      <w:pPr>
        <w:spacing w:after="0"/>
        <w:rPr>
          <w:rFonts w:cs="Arial"/>
          <w:szCs w:val="24"/>
        </w:rPr>
      </w:pPr>
    </w:p>
    <w:p w:rsidR="007C47E7" w:rsidRPr="00103579" w:rsidRDefault="007C47E7" w:rsidP="007C47E7">
      <w:pPr>
        <w:spacing w:after="0"/>
        <w:rPr>
          <w:rFonts w:cs="Arial"/>
          <w:szCs w:val="24"/>
        </w:rPr>
      </w:pPr>
      <w:r w:rsidRPr="00103579">
        <w:rPr>
          <w:rFonts w:cs="Arial"/>
          <w:szCs w:val="24"/>
        </w:rPr>
        <w:t>A pesar de que normativamente hoy se cuenta con un Código Nacional de Procedimientos Penales</w:t>
      </w:r>
      <w:r w:rsidRPr="00103579">
        <w:rPr>
          <w:rStyle w:val="Refdenotaalpie"/>
          <w:rFonts w:cs="Arial"/>
          <w:szCs w:val="24"/>
        </w:rPr>
        <w:footnoteReference w:id="10"/>
      </w:r>
      <w:r w:rsidRPr="00103579">
        <w:rPr>
          <w:rFonts w:cs="Arial"/>
          <w:szCs w:val="24"/>
        </w:rPr>
        <w:t>, puede decirse que aún hay mucho trabajo normativo y legislativo que realizar, a continuación señalamos algunos aspectos que la propia SETEC ha señalado en los que hay que trabajar.</w:t>
      </w:r>
    </w:p>
    <w:p w:rsidR="007C47E7" w:rsidRPr="00103579" w:rsidRDefault="007C47E7" w:rsidP="007C47E7">
      <w:pPr>
        <w:spacing w:after="0"/>
        <w:rPr>
          <w:rFonts w:cs="Arial"/>
          <w:szCs w:val="24"/>
        </w:rPr>
      </w:pPr>
    </w:p>
    <w:p w:rsidR="007C47E7" w:rsidRPr="00103579" w:rsidRDefault="007C47E7" w:rsidP="007C47E7">
      <w:pPr>
        <w:spacing w:after="0"/>
        <w:rPr>
          <w:rFonts w:cs="Arial"/>
          <w:szCs w:val="24"/>
        </w:rPr>
      </w:pPr>
      <w:r w:rsidRPr="00103579">
        <w:rPr>
          <w:rFonts w:cs="Arial"/>
          <w:szCs w:val="24"/>
        </w:rPr>
        <w:t>Asimismo, vale la pena señalar que la normatividad procesal ha sido objeto de numerosos comentarios, observaciones y críticas de diversos sectores académicos</w:t>
      </w:r>
      <w:r w:rsidRPr="00103579">
        <w:rPr>
          <w:rStyle w:val="Refdenotaalpie"/>
          <w:rFonts w:cs="Arial"/>
          <w:szCs w:val="24"/>
        </w:rPr>
        <w:footnoteReference w:id="11"/>
      </w:r>
      <w:r w:rsidRPr="00103579">
        <w:rPr>
          <w:rFonts w:cs="Arial"/>
          <w:szCs w:val="24"/>
        </w:rPr>
        <w:t>.</w:t>
      </w:r>
    </w:p>
    <w:p w:rsidR="007C47E7" w:rsidRPr="00103579" w:rsidRDefault="007C47E7" w:rsidP="007C47E7">
      <w:pPr>
        <w:spacing w:after="0"/>
        <w:rPr>
          <w:rFonts w:cs="Arial"/>
          <w:szCs w:val="24"/>
        </w:rPr>
      </w:pPr>
      <w:r w:rsidRPr="00103579">
        <w:rPr>
          <w:rFonts w:cs="Arial"/>
          <w:szCs w:val="24"/>
        </w:rPr>
        <w:t>A la fecha de estas líneas, más entidades federativas se están sumando a la vigencia del Código Nacional de Procedimientos Penales, el Código nacional actualmente opera en Durango, Puebla así próximamente serán a nivel de delitos federales a partir del 30 de noviembre de 2015 los siguientes Chiapas, Chihuahua, Coahuila, Nayarit, Oaxaca, Sinaloa y Tlaxcala, y del 29 de febrero de 2016 en Aguascalientes, Colima, Estado de México, Hidalgo, Morelos, Nuevo León, Quintana Roo, Tabasco y el Distrito Federal.</w:t>
      </w:r>
    </w:p>
    <w:p w:rsidR="007C47E7" w:rsidRPr="00103579" w:rsidRDefault="007C47E7" w:rsidP="007C47E7">
      <w:pPr>
        <w:spacing w:after="0"/>
        <w:rPr>
          <w:rFonts w:cs="Arial"/>
          <w:szCs w:val="24"/>
        </w:rPr>
      </w:pPr>
    </w:p>
    <w:p w:rsidR="007C47E7" w:rsidRPr="00103579" w:rsidRDefault="007C47E7" w:rsidP="007C47E7">
      <w:pPr>
        <w:spacing w:after="0"/>
        <w:rPr>
          <w:rFonts w:cs="Arial"/>
          <w:szCs w:val="24"/>
        </w:rPr>
      </w:pPr>
      <w:r w:rsidRPr="00103579">
        <w:rPr>
          <w:rFonts w:cs="Arial"/>
          <w:noProof/>
          <w:szCs w:val="24"/>
          <w:lang w:eastAsia="es-MX"/>
        </w:rPr>
        <w:lastRenderedPageBreak/>
        <w:drawing>
          <wp:inline distT="0" distB="0" distL="0" distR="0">
            <wp:extent cx="2708572" cy="5360724"/>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1442" cy="5366405"/>
                    </a:xfrm>
                    <a:prstGeom prst="rect">
                      <a:avLst/>
                    </a:prstGeom>
                    <a:noFill/>
                  </pic:spPr>
                </pic:pic>
              </a:graphicData>
            </a:graphic>
          </wp:inline>
        </w:drawing>
      </w:r>
      <w:r w:rsidRPr="00103579">
        <w:rPr>
          <w:rStyle w:val="Refdenotaalpie"/>
          <w:rFonts w:cs="Arial"/>
          <w:szCs w:val="24"/>
        </w:rPr>
        <w:footnoteReference w:id="12"/>
      </w:r>
    </w:p>
    <w:p w:rsidR="007C47E7" w:rsidRPr="00103579" w:rsidRDefault="007C47E7" w:rsidP="007C47E7">
      <w:pPr>
        <w:spacing w:after="0" w:line="240" w:lineRule="auto"/>
        <w:rPr>
          <w:rFonts w:eastAsiaTheme="minorEastAsia"/>
          <w:b/>
          <w:szCs w:val="24"/>
          <w:lang w:val="es-ES" w:eastAsia="es-ES_tradnl"/>
        </w:rPr>
      </w:pPr>
      <w:r w:rsidRPr="00103579">
        <w:rPr>
          <w:rFonts w:eastAsiaTheme="minorEastAsia"/>
          <w:b/>
          <w:szCs w:val="24"/>
          <w:lang w:val="es-ES" w:eastAsia="es-ES_tradnl"/>
        </w:rPr>
        <w:t>Realizar la armonización normativa acorde al CNPP</w:t>
      </w:r>
      <w:r w:rsidRPr="00103579">
        <w:rPr>
          <w:rFonts w:eastAsiaTheme="minorEastAsia"/>
          <w:b/>
          <w:szCs w:val="24"/>
          <w:vertAlign w:val="superscript"/>
          <w:lang w:val="es-ES" w:eastAsia="es-ES_tradnl"/>
        </w:rPr>
        <w:footnoteReference w:id="13"/>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Declaratoria de incorporación</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Código Nacional de Procedimientos Penales</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Ley de Mecanismos Alternativos de Solución de Controversias en Materia Penal</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lastRenderedPageBreak/>
        <w:t>Ley de Ejecución de Sanciones Penales</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Ley General del Sistema Nacional de Seguridad Pública</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Reforma Constitucional y Ley Nacional de Justicia para Adolescentes</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Ley Orgánica del Poder Judicial de la Federación</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Ley Orgánica de la Fiscalía</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Ley Federal de Defensoría Pública</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Reforma al CNPP en el Capítulo V Título VI del Libro Segundo relativo a la Supervisión de las Medidas Cautelares</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Ley Federal Contra la Delincuencia Organizada</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Ley de Amparo</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Código Penal Federal</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Ley General de Víctimas</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Ley Federal para la Protección a Personas que intervienen en el Procedimiento Penal</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Reglamento de la Ley de la Policía Federal</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Ley Federal de Extinción de Dominio</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Ley Federal para la Administración y Enajenación de Bienes del Sector Público</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Ley General para Prevenir y Sancionar los Delitos en Materia de Secuestro</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Ley General para Prevenir, Sancionar y Erradicar los Delitos en Materia de Trata de Personas</w:t>
      </w:r>
    </w:p>
    <w:p w:rsidR="007C47E7" w:rsidRPr="00103579" w:rsidRDefault="007C47E7" w:rsidP="007C47E7">
      <w:pPr>
        <w:numPr>
          <w:ilvl w:val="0"/>
          <w:numId w:val="8"/>
        </w:numPr>
        <w:spacing w:after="0" w:line="240" w:lineRule="auto"/>
        <w:contextualSpacing/>
        <w:rPr>
          <w:rFonts w:eastAsiaTheme="minorEastAsia"/>
          <w:szCs w:val="24"/>
          <w:lang w:val="es-ES" w:eastAsia="es-ES_tradnl"/>
        </w:rPr>
      </w:pPr>
      <w:r w:rsidRPr="00103579">
        <w:rPr>
          <w:rFonts w:eastAsiaTheme="minorEastAsia"/>
          <w:szCs w:val="24"/>
          <w:lang w:val="es-ES" w:eastAsia="es-ES_tradnl"/>
        </w:rPr>
        <w:t>Código Fiscal de la Federación</w:t>
      </w:r>
    </w:p>
    <w:p w:rsidR="007C47E7" w:rsidRPr="00103579" w:rsidRDefault="007C47E7" w:rsidP="007C47E7">
      <w:pPr>
        <w:spacing w:after="0" w:line="240" w:lineRule="auto"/>
        <w:rPr>
          <w:rFonts w:eastAsiaTheme="minorEastAsia"/>
          <w:szCs w:val="24"/>
          <w:lang w:val="es-ES" w:eastAsia="es-ES_tradnl"/>
        </w:rPr>
      </w:pPr>
    </w:p>
    <w:p w:rsidR="007C47E7" w:rsidRPr="00103579" w:rsidRDefault="007C47E7" w:rsidP="007C47E7">
      <w:pPr>
        <w:spacing w:after="0" w:line="240" w:lineRule="auto"/>
        <w:rPr>
          <w:rFonts w:eastAsiaTheme="minorEastAsia"/>
          <w:b/>
          <w:szCs w:val="24"/>
          <w:lang w:val="es-ES" w:eastAsia="es-ES_tradnl"/>
        </w:rPr>
      </w:pPr>
      <w:r w:rsidRPr="00103579">
        <w:rPr>
          <w:rFonts w:eastAsiaTheme="minorEastAsia"/>
          <w:b/>
          <w:szCs w:val="24"/>
          <w:lang w:val="es-ES" w:eastAsia="es-ES_tradnl"/>
        </w:rPr>
        <w:t>Realizar la Armonización Normativa Local acorde al CNPP</w:t>
      </w:r>
      <w:r w:rsidRPr="00103579">
        <w:rPr>
          <w:rFonts w:eastAsiaTheme="minorEastAsia"/>
          <w:b/>
          <w:szCs w:val="24"/>
          <w:vertAlign w:val="superscript"/>
          <w:lang w:val="es-ES" w:eastAsia="es-ES_tradnl"/>
        </w:rPr>
        <w:footnoteReference w:id="14"/>
      </w:r>
    </w:p>
    <w:p w:rsidR="007C47E7" w:rsidRPr="00103579" w:rsidRDefault="007C47E7" w:rsidP="007C47E7">
      <w:pPr>
        <w:spacing w:after="0" w:line="240" w:lineRule="auto"/>
        <w:rPr>
          <w:rFonts w:eastAsiaTheme="minorEastAsia"/>
          <w:szCs w:val="24"/>
          <w:lang w:val="es-ES" w:eastAsia="es-ES_tradnl"/>
        </w:rPr>
      </w:pPr>
    </w:p>
    <w:tbl>
      <w:tblPr>
        <w:tblStyle w:val="Tablaconcuadrcula"/>
        <w:tblW w:w="0" w:type="auto"/>
        <w:tblLook w:val="04A0" w:firstRow="1" w:lastRow="0" w:firstColumn="1" w:lastColumn="0" w:noHBand="0" w:noVBand="1"/>
      </w:tblPr>
      <w:tblGrid>
        <w:gridCol w:w="704"/>
        <w:gridCol w:w="6237"/>
        <w:gridCol w:w="1887"/>
      </w:tblGrid>
      <w:tr w:rsidR="007C47E7" w:rsidRPr="00103579" w:rsidTr="002C5FE2">
        <w:tc>
          <w:tcPr>
            <w:tcW w:w="704" w:type="dxa"/>
            <w:shd w:val="clear" w:color="auto" w:fill="A6A6A6" w:themeFill="background1" w:themeFillShade="A6"/>
          </w:tcPr>
          <w:p w:rsidR="007C47E7" w:rsidRPr="00103579" w:rsidRDefault="007C47E7" w:rsidP="002C5FE2">
            <w:pPr>
              <w:jc w:val="center"/>
              <w:rPr>
                <w:b/>
                <w:lang w:val="es-ES"/>
              </w:rPr>
            </w:pPr>
            <w:r w:rsidRPr="00103579">
              <w:rPr>
                <w:b/>
                <w:lang w:val="es-ES"/>
              </w:rPr>
              <w:t>N°</w:t>
            </w:r>
          </w:p>
        </w:tc>
        <w:tc>
          <w:tcPr>
            <w:tcW w:w="6237" w:type="dxa"/>
            <w:shd w:val="clear" w:color="auto" w:fill="A6A6A6" w:themeFill="background1" w:themeFillShade="A6"/>
          </w:tcPr>
          <w:p w:rsidR="007C47E7" w:rsidRPr="00103579" w:rsidRDefault="007C47E7" w:rsidP="002C5FE2">
            <w:pPr>
              <w:jc w:val="center"/>
              <w:rPr>
                <w:b/>
                <w:lang w:val="es-ES"/>
              </w:rPr>
            </w:pPr>
            <w:r w:rsidRPr="00103579">
              <w:rPr>
                <w:b/>
                <w:lang w:val="es-ES"/>
              </w:rPr>
              <w:t>Normatividad alineada al SJPA</w:t>
            </w:r>
          </w:p>
        </w:tc>
        <w:tc>
          <w:tcPr>
            <w:tcW w:w="1887" w:type="dxa"/>
            <w:shd w:val="clear" w:color="auto" w:fill="A6A6A6" w:themeFill="background1" w:themeFillShade="A6"/>
          </w:tcPr>
          <w:p w:rsidR="007C47E7" w:rsidRPr="00103579" w:rsidRDefault="007C47E7" w:rsidP="002C5FE2">
            <w:pPr>
              <w:jc w:val="center"/>
              <w:rPr>
                <w:b/>
                <w:lang w:val="es-ES"/>
              </w:rPr>
            </w:pPr>
            <w:r w:rsidRPr="00103579">
              <w:rPr>
                <w:b/>
                <w:lang w:val="es-ES"/>
              </w:rPr>
              <w:t>Avance normativo</w:t>
            </w:r>
          </w:p>
        </w:tc>
      </w:tr>
      <w:tr w:rsidR="007C47E7" w:rsidRPr="00103579" w:rsidTr="002C5FE2">
        <w:tc>
          <w:tcPr>
            <w:tcW w:w="704" w:type="dxa"/>
            <w:shd w:val="clear" w:color="auto" w:fill="00B0F0"/>
          </w:tcPr>
          <w:p w:rsidR="007C47E7" w:rsidRPr="00103579" w:rsidRDefault="007C47E7" w:rsidP="002C5FE2">
            <w:pPr>
              <w:rPr>
                <w:lang w:val="es-ES"/>
              </w:rPr>
            </w:pPr>
            <w:r w:rsidRPr="00103579">
              <w:rPr>
                <w:lang w:val="es-ES"/>
              </w:rPr>
              <w:t>1</w:t>
            </w:r>
          </w:p>
        </w:tc>
        <w:tc>
          <w:tcPr>
            <w:tcW w:w="6237" w:type="dxa"/>
            <w:shd w:val="clear" w:color="auto" w:fill="00B0F0"/>
          </w:tcPr>
          <w:p w:rsidR="007C47E7" w:rsidRPr="00103579" w:rsidRDefault="007C47E7" w:rsidP="002C5FE2">
            <w:pPr>
              <w:rPr>
                <w:lang w:val="es-ES"/>
              </w:rPr>
            </w:pPr>
            <w:r w:rsidRPr="00103579">
              <w:rPr>
                <w:lang w:val="es-ES"/>
              </w:rPr>
              <w:t>Entrada en vigor</w:t>
            </w:r>
            <w:r w:rsidRPr="00103579">
              <w:rPr>
                <w:vertAlign w:val="superscript"/>
                <w:lang w:val="es-ES"/>
              </w:rPr>
              <w:footnoteReference w:id="15"/>
            </w:r>
          </w:p>
        </w:tc>
        <w:tc>
          <w:tcPr>
            <w:tcW w:w="1887" w:type="dxa"/>
            <w:shd w:val="clear" w:color="auto" w:fill="00B0F0"/>
          </w:tcPr>
          <w:p w:rsidR="007C47E7" w:rsidRPr="00103579" w:rsidRDefault="007C47E7" w:rsidP="002C5FE2">
            <w:pPr>
              <w:jc w:val="center"/>
              <w:rPr>
                <w:lang w:val="es-ES"/>
              </w:rPr>
            </w:pPr>
            <w:r w:rsidRPr="00103579">
              <w:rPr>
                <w:lang w:val="es-ES"/>
              </w:rPr>
              <w:t>28/32</w:t>
            </w:r>
          </w:p>
        </w:tc>
      </w:tr>
      <w:tr w:rsidR="007C47E7" w:rsidRPr="00103579" w:rsidTr="002C5FE2">
        <w:tc>
          <w:tcPr>
            <w:tcW w:w="704" w:type="dxa"/>
            <w:shd w:val="clear" w:color="auto" w:fill="00B0F0"/>
          </w:tcPr>
          <w:p w:rsidR="007C47E7" w:rsidRPr="00103579" w:rsidRDefault="007C47E7" w:rsidP="002C5FE2">
            <w:pPr>
              <w:rPr>
                <w:lang w:val="es-ES"/>
              </w:rPr>
            </w:pPr>
            <w:r w:rsidRPr="00103579">
              <w:rPr>
                <w:lang w:val="es-ES"/>
              </w:rPr>
              <w:t>2</w:t>
            </w:r>
          </w:p>
        </w:tc>
        <w:tc>
          <w:tcPr>
            <w:tcW w:w="6237" w:type="dxa"/>
            <w:shd w:val="clear" w:color="auto" w:fill="00B0F0"/>
          </w:tcPr>
          <w:p w:rsidR="007C47E7" w:rsidRPr="00103579" w:rsidRDefault="007C47E7" w:rsidP="002C5FE2">
            <w:pPr>
              <w:rPr>
                <w:lang w:val="es-ES"/>
              </w:rPr>
            </w:pPr>
            <w:r w:rsidRPr="00103579">
              <w:rPr>
                <w:lang w:val="es-ES"/>
              </w:rPr>
              <w:t>Constitución estatal</w:t>
            </w:r>
          </w:p>
        </w:tc>
        <w:tc>
          <w:tcPr>
            <w:tcW w:w="1887" w:type="dxa"/>
            <w:shd w:val="clear" w:color="auto" w:fill="00B0F0"/>
          </w:tcPr>
          <w:p w:rsidR="007C47E7" w:rsidRPr="00103579" w:rsidRDefault="007C47E7" w:rsidP="002C5FE2">
            <w:pPr>
              <w:jc w:val="center"/>
              <w:rPr>
                <w:lang w:val="es-ES"/>
              </w:rPr>
            </w:pPr>
            <w:r w:rsidRPr="00103579">
              <w:rPr>
                <w:lang w:val="es-ES"/>
              </w:rPr>
              <w:t>28/32</w:t>
            </w:r>
          </w:p>
        </w:tc>
      </w:tr>
      <w:tr w:rsidR="007C47E7" w:rsidRPr="00103579" w:rsidTr="002C5FE2">
        <w:tc>
          <w:tcPr>
            <w:tcW w:w="704" w:type="dxa"/>
            <w:shd w:val="clear" w:color="auto" w:fill="00B0F0"/>
          </w:tcPr>
          <w:p w:rsidR="007C47E7" w:rsidRPr="00103579" w:rsidRDefault="007C47E7" w:rsidP="002C5FE2">
            <w:pPr>
              <w:rPr>
                <w:lang w:val="es-ES"/>
              </w:rPr>
            </w:pPr>
            <w:r w:rsidRPr="00103579">
              <w:rPr>
                <w:lang w:val="es-ES"/>
              </w:rPr>
              <w:t>3</w:t>
            </w:r>
          </w:p>
        </w:tc>
        <w:tc>
          <w:tcPr>
            <w:tcW w:w="6237" w:type="dxa"/>
            <w:shd w:val="clear" w:color="auto" w:fill="00B0F0"/>
          </w:tcPr>
          <w:p w:rsidR="007C47E7" w:rsidRPr="00103579" w:rsidRDefault="007C47E7" w:rsidP="002C5FE2">
            <w:pPr>
              <w:rPr>
                <w:lang w:val="es-ES"/>
              </w:rPr>
            </w:pPr>
            <w:r w:rsidRPr="00103579">
              <w:rPr>
                <w:lang w:val="es-ES"/>
              </w:rPr>
              <w:t>Declaratoria de incorporación</w:t>
            </w:r>
          </w:p>
        </w:tc>
        <w:tc>
          <w:tcPr>
            <w:tcW w:w="1887" w:type="dxa"/>
            <w:shd w:val="clear" w:color="auto" w:fill="00B0F0"/>
          </w:tcPr>
          <w:p w:rsidR="007C47E7" w:rsidRPr="00103579" w:rsidRDefault="007C47E7" w:rsidP="002C5FE2">
            <w:pPr>
              <w:jc w:val="center"/>
              <w:rPr>
                <w:lang w:val="es-ES"/>
              </w:rPr>
            </w:pPr>
            <w:r w:rsidRPr="00103579">
              <w:rPr>
                <w:lang w:val="es-ES"/>
              </w:rPr>
              <w:t>19/32</w:t>
            </w:r>
          </w:p>
        </w:tc>
      </w:tr>
      <w:tr w:rsidR="007C47E7" w:rsidRPr="00103579" w:rsidTr="002C5FE2">
        <w:tc>
          <w:tcPr>
            <w:tcW w:w="704" w:type="dxa"/>
            <w:shd w:val="clear" w:color="auto" w:fill="00B0F0"/>
          </w:tcPr>
          <w:p w:rsidR="007C47E7" w:rsidRPr="00103579" w:rsidRDefault="007C47E7" w:rsidP="002C5FE2">
            <w:pPr>
              <w:rPr>
                <w:lang w:val="es-ES"/>
              </w:rPr>
            </w:pPr>
            <w:r w:rsidRPr="00103579">
              <w:rPr>
                <w:lang w:val="es-ES"/>
              </w:rPr>
              <w:t>4</w:t>
            </w:r>
          </w:p>
        </w:tc>
        <w:tc>
          <w:tcPr>
            <w:tcW w:w="6237" w:type="dxa"/>
            <w:shd w:val="clear" w:color="auto" w:fill="00B0F0"/>
          </w:tcPr>
          <w:p w:rsidR="007C47E7" w:rsidRPr="00103579" w:rsidRDefault="007C47E7" w:rsidP="002C5FE2">
            <w:pPr>
              <w:rPr>
                <w:lang w:val="es-ES"/>
              </w:rPr>
            </w:pPr>
            <w:r w:rsidRPr="00103579">
              <w:rPr>
                <w:lang w:val="es-ES"/>
              </w:rPr>
              <w:t>Ley Orgánica del Poder Judicial</w:t>
            </w:r>
          </w:p>
        </w:tc>
        <w:tc>
          <w:tcPr>
            <w:tcW w:w="1887" w:type="dxa"/>
            <w:shd w:val="clear" w:color="auto" w:fill="00B0F0"/>
          </w:tcPr>
          <w:p w:rsidR="007C47E7" w:rsidRPr="00103579" w:rsidRDefault="007C47E7" w:rsidP="002C5FE2">
            <w:pPr>
              <w:jc w:val="center"/>
              <w:rPr>
                <w:lang w:val="es-ES"/>
              </w:rPr>
            </w:pPr>
            <w:r w:rsidRPr="00103579">
              <w:rPr>
                <w:lang w:val="es-ES"/>
              </w:rPr>
              <w:t>24/32</w:t>
            </w:r>
          </w:p>
        </w:tc>
      </w:tr>
      <w:tr w:rsidR="007C47E7" w:rsidRPr="00103579" w:rsidTr="002C5FE2">
        <w:tc>
          <w:tcPr>
            <w:tcW w:w="704" w:type="dxa"/>
            <w:shd w:val="clear" w:color="auto" w:fill="00B0F0"/>
          </w:tcPr>
          <w:p w:rsidR="007C47E7" w:rsidRPr="00103579" w:rsidRDefault="007C47E7" w:rsidP="002C5FE2">
            <w:pPr>
              <w:rPr>
                <w:lang w:val="es-ES"/>
              </w:rPr>
            </w:pPr>
            <w:r w:rsidRPr="00103579">
              <w:rPr>
                <w:lang w:val="es-ES"/>
              </w:rPr>
              <w:t>5</w:t>
            </w:r>
          </w:p>
        </w:tc>
        <w:tc>
          <w:tcPr>
            <w:tcW w:w="6237" w:type="dxa"/>
            <w:shd w:val="clear" w:color="auto" w:fill="00B0F0"/>
          </w:tcPr>
          <w:p w:rsidR="007C47E7" w:rsidRPr="00103579" w:rsidRDefault="007C47E7" w:rsidP="002C5FE2">
            <w:pPr>
              <w:rPr>
                <w:lang w:val="es-ES"/>
              </w:rPr>
            </w:pPr>
            <w:r w:rsidRPr="00103579">
              <w:rPr>
                <w:lang w:val="es-ES"/>
              </w:rPr>
              <w:t xml:space="preserve">Ley Orgánica de la Procuraduría General de Justicia </w:t>
            </w:r>
          </w:p>
        </w:tc>
        <w:tc>
          <w:tcPr>
            <w:tcW w:w="1887" w:type="dxa"/>
            <w:shd w:val="clear" w:color="auto" w:fill="00B0F0"/>
          </w:tcPr>
          <w:p w:rsidR="007C47E7" w:rsidRPr="00103579" w:rsidRDefault="007C47E7" w:rsidP="002C5FE2">
            <w:pPr>
              <w:jc w:val="center"/>
              <w:rPr>
                <w:lang w:val="es-ES"/>
              </w:rPr>
            </w:pPr>
            <w:r w:rsidRPr="00103579">
              <w:rPr>
                <w:lang w:val="es-ES"/>
              </w:rPr>
              <w:t>22/32</w:t>
            </w:r>
          </w:p>
        </w:tc>
      </w:tr>
      <w:tr w:rsidR="007C47E7" w:rsidRPr="00103579" w:rsidTr="002C5FE2">
        <w:tc>
          <w:tcPr>
            <w:tcW w:w="704" w:type="dxa"/>
            <w:shd w:val="clear" w:color="auto" w:fill="00B0F0"/>
          </w:tcPr>
          <w:p w:rsidR="007C47E7" w:rsidRPr="00103579" w:rsidRDefault="007C47E7" w:rsidP="002C5FE2">
            <w:pPr>
              <w:rPr>
                <w:lang w:val="es-ES"/>
              </w:rPr>
            </w:pPr>
            <w:r w:rsidRPr="00103579">
              <w:rPr>
                <w:lang w:val="es-ES"/>
              </w:rPr>
              <w:t>6</w:t>
            </w:r>
          </w:p>
        </w:tc>
        <w:tc>
          <w:tcPr>
            <w:tcW w:w="6237" w:type="dxa"/>
            <w:shd w:val="clear" w:color="auto" w:fill="00B0F0"/>
          </w:tcPr>
          <w:p w:rsidR="007C47E7" w:rsidRPr="00103579" w:rsidRDefault="007C47E7" w:rsidP="002C5FE2">
            <w:pPr>
              <w:rPr>
                <w:lang w:val="es-ES"/>
              </w:rPr>
            </w:pPr>
            <w:r w:rsidRPr="00103579">
              <w:rPr>
                <w:lang w:val="es-ES"/>
              </w:rPr>
              <w:t>Ley de Defensoría Pública</w:t>
            </w:r>
          </w:p>
        </w:tc>
        <w:tc>
          <w:tcPr>
            <w:tcW w:w="1887" w:type="dxa"/>
            <w:shd w:val="clear" w:color="auto" w:fill="00B0F0"/>
          </w:tcPr>
          <w:p w:rsidR="007C47E7" w:rsidRPr="00103579" w:rsidRDefault="007C47E7" w:rsidP="002C5FE2">
            <w:pPr>
              <w:jc w:val="center"/>
              <w:rPr>
                <w:lang w:val="es-ES"/>
              </w:rPr>
            </w:pPr>
            <w:r w:rsidRPr="00103579">
              <w:rPr>
                <w:lang w:val="es-ES"/>
              </w:rPr>
              <w:t>26/32</w:t>
            </w:r>
          </w:p>
        </w:tc>
      </w:tr>
      <w:tr w:rsidR="007C47E7" w:rsidRPr="00103579" w:rsidTr="002C5FE2">
        <w:tc>
          <w:tcPr>
            <w:tcW w:w="704" w:type="dxa"/>
            <w:shd w:val="clear" w:color="auto" w:fill="00B0F0"/>
          </w:tcPr>
          <w:p w:rsidR="007C47E7" w:rsidRPr="00103579" w:rsidRDefault="007C47E7" w:rsidP="002C5FE2">
            <w:pPr>
              <w:rPr>
                <w:lang w:val="es-ES"/>
              </w:rPr>
            </w:pPr>
            <w:r w:rsidRPr="00103579">
              <w:rPr>
                <w:lang w:val="es-ES"/>
              </w:rPr>
              <w:t>7</w:t>
            </w:r>
          </w:p>
        </w:tc>
        <w:tc>
          <w:tcPr>
            <w:tcW w:w="6237" w:type="dxa"/>
            <w:shd w:val="clear" w:color="auto" w:fill="00B0F0"/>
          </w:tcPr>
          <w:p w:rsidR="007C47E7" w:rsidRPr="00103579" w:rsidRDefault="007C47E7" w:rsidP="002C5FE2">
            <w:pPr>
              <w:rPr>
                <w:lang w:val="es-ES"/>
              </w:rPr>
            </w:pPr>
            <w:r w:rsidRPr="00103579">
              <w:rPr>
                <w:lang w:val="es-ES"/>
              </w:rPr>
              <w:t>Ley de Justicia para Adolescentes</w:t>
            </w:r>
          </w:p>
        </w:tc>
        <w:tc>
          <w:tcPr>
            <w:tcW w:w="1887" w:type="dxa"/>
            <w:shd w:val="clear" w:color="auto" w:fill="00B0F0"/>
          </w:tcPr>
          <w:p w:rsidR="007C47E7" w:rsidRPr="00103579" w:rsidRDefault="007C47E7" w:rsidP="002C5FE2">
            <w:pPr>
              <w:jc w:val="center"/>
              <w:rPr>
                <w:lang w:val="es-ES"/>
              </w:rPr>
            </w:pPr>
            <w:r w:rsidRPr="00103579">
              <w:rPr>
                <w:lang w:val="es-ES"/>
              </w:rPr>
              <w:t>18/32</w:t>
            </w:r>
          </w:p>
        </w:tc>
      </w:tr>
      <w:tr w:rsidR="007C47E7" w:rsidRPr="00103579" w:rsidTr="002C5FE2">
        <w:tc>
          <w:tcPr>
            <w:tcW w:w="704" w:type="dxa"/>
            <w:shd w:val="clear" w:color="auto" w:fill="00B0F0"/>
          </w:tcPr>
          <w:p w:rsidR="007C47E7" w:rsidRPr="00103579" w:rsidRDefault="007C47E7" w:rsidP="002C5FE2">
            <w:pPr>
              <w:rPr>
                <w:lang w:val="es-ES"/>
              </w:rPr>
            </w:pPr>
            <w:r w:rsidRPr="00103579">
              <w:rPr>
                <w:lang w:val="es-ES"/>
              </w:rPr>
              <w:t>8</w:t>
            </w:r>
          </w:p>
        </w:tc>
        <w:tc>
          <w:tcPr>
            <w:tcW w:w="6237" w:type="dxa"/>
            <w:shd w:val="clear" w:color="auto" w:fill="00B0F0"/>
          </w:tcPr>
          <w:p w:rsidR="007C47E7" w:rsidRPr="00103579" w:rsidRDefault="007C47E7" w:rsidP="002C5FE2">
            <w:pPr>
              <w:rPr>
                <w:lang w:val="es-ES"/>
              </w:rPr>
            </w:pPr>
            <w:r w:rsidRPr="00103579">
              <w:rPr>
                <w:lang w:val="es-ES"/>
              </w:rPr>
              <w:t>Código Penal</w:t>
            </w:r>
          </w:p>
        </w:tc>
        <w:tc>
          <w:tcPr>
            <w:tcW w:w="1887" w:type="dxa"/>
            <w:shd w:val="clear" w:color="auto" w:fill="00B0F0"/>
          </w:tcPr>
          <w:p w:rsidR="007C47E7" w:rsidRPr="00103579" w:rsidRDefault="007C47E7" w:rsidP="002C5FE2">
            <w:pPr>
              <w:jc w:val="center"/>
              <w:rPr>
                <w:lang w:val="es-ES"/>
              </w:rPr>
            </w:pPr>
            <w:r w:rsidRPr="00103579">
              <w:rPr>
                <w:lang w:val="es-ES"/>
              </w:rPr>
              <w:t>21/32</w:t>
            </w:r>
          </w:p>
        </w:tc>
      </w:tr>
      <w:tr w:rsidR="007C47E7" w:rsidRPr="00103579" w:rsidTr="002C5FE2">
        <w:tc>
          <w:tcPr>
            <w:tcW w:w="704" w:type="dxa"/>
            <w:shd w:val="clear" w:color="auto" w:fill="00B0F0"/>
          </w:tcPr>
          <w:p w:rsidR="007C47E7" w:rsidRPr="00103579" w:rsidRDefault="007C47E7" w:rsidP="002C5FE2">
            <w:pPr>
              <w:rPr>
                <w:lang w:val="es-ES"/>
              </w:rPr>
            </w:pPr>
            <w:r w:rsidRPr="00103579">
              <w:rPr>
                <w:lang w:val="es-ES"/>
              </w:rPr>
              <w:t>9</w:t>
            </w:r>
          </w:p>
        </w:tc>
        <w:tc>
          <w:tcPr>
            <w:tcW w:w="6237" w:type="dxa"/>
            <w:shd w:val="clear" w:color="auto" w:fill="00B0F0"/>
          </w:tcPr>
          <w:p w:rsidR="007C47E7" w:rsidRPr="00103579" w:rsidRDefault="007C47E7" w:rsidP="002C5FE2">
            <w:pPr>
              <w:rPr>
                <w:lang w:val="es-ES"/>
              </w:rPr>
            </w:pPr>
            <w:r w:rsidRPr="00103579">
              <w:rPr>
                <w:lang w:val="es-ES"/>
              </w:rPr>
              <w:t>Ley de Seguridad Pública</w:t>
            </w:r>
          </w:p>
        </w:tc>
        <w:tc>
          <w:tcPr>
            <w:tcW w:w="1887" w:type="dxa"/>
            <w:shd w:val="clear" w:color="auto" w:fill="00B0F0"/>
          </w:tcPr>
          <w:p w:rsidR="007C47E7" w:rsidRPr="00103579" w:rsidRDefault="007C47E7" w:rsidP="002C5FE2">
            <w:pPr>
              <w:jc w:val="center"/>
              <w:rPr>
                <w:lang w:val="es-ES"/>
              </w:rPr>
            </w:pPr>
            <w:r w:rsidRPr="00103579">
              <w:rPr>
                <w:lang w:val="es-ES"/>
              </w:rPr>
              <w:t>17/32</w:t>
            </w:r>
          </w:p>
        </w:tc>
      </w:tr>
      <w:tr w:rsidR="007C47E7" w:rsidRPr="00103579" w:rsidTr="002C5FE2">
        <w:tc>
          <w:tcPr>
            <w:tcW w:w="704" w:type="dxa"/>
            <w:shd w:val="clear" w:color="auto" w:fill="00B0F0"/>
          </w:tcPr>
          <w:p w:rsidR="007C47E7" w:rsidRPr="00103579" w:rsidRDefault="007C47E7" w:rsidP="002C5FE2">
            <w:pPr>
              <w:rPr>
                <w:lang w:val="es-ES"/>
              </w:rPr>
            </w:pPr>
            <w:r w:rsidRPr="00103579">
              <w:rPr>
                <w:lang w:val="es-ES"/>
              </w:rPr>
              <w:t>10</w:t>
            </w:r>
          </w:p>
        </w:tc>
        <w:tc>
          <w:tcPr>
            <w:tcW w:w="6237" w:type="dxa"/>
            <w:shd w:val="clear" w:color="auto" w:fill="00B0F0"/>
          </w:tcPr>
          <w:p w:rsidR="007C47E7" w:rsidRPr="00103579" w:rsidRDefault="007C47E7" w:rsidP="002C5FE2">
            <w:pPr>
              <w:rPr>
                <w:lang w:val="es-ES"/>
              </w:rPr>
            </w:pPr>
            <w:r w:rsidRPr="00103579">
              <w:rPr>
                <w:lang w:val="es-ES"/>
              </w:rPr>
              <w:t>Ley de Atención a Víctimas u Ofendidos del Delito</w:t>
            </w:r>
          </w:p>
        </w:tc>
        <w:tc>
          <w:tcPr>
            <w:tcW w:w="1887" w:type="dxa"/>
            <w:shd w:val="clear" w:color="auto" w:fill="00B0F0"/>
          </w:tcPr>
          <w:p w:rsidR="007C47E7" w:rsidRPr="00103579" w:rsidRDefault="007C47E7" w:rsidP="002C5FE2">
            <w:pPr>
              <w:jc w:val="center"/>
              <w:rPr>
                <w:lang w:val="es-ES"/>
              </w:rPr>
            </w:pPr>
            <w:r w:rsidRPr="00103579">
              <w:rPr>
                <w:lang w:val="es-ES"/>
              </w:rPr>
              <w:t>17/32</w:t>
            </w:r>
          </w:p>
        </w:tc>
      </w:tr>
      <w:tr w:rsidR="007C47E7" w:rsidRPr="00103579" w:rsidTr="002C5FE2">
        <w:tc>
          <w:tcPr>
            <w:tcW w:w="704" w:type="dxa"/>
            <w:shd w:val="clear" w:color="auto" w:fill="00B0F0"/>
          </w:tcPr>
          <w:p w:rsidR="007C47E7" w:rsidRPr="00103579" w:rsidRDefault="007C47E7" w:rsidP="002C5FE2">
            <w:pPr>
              <w:rPr>
                <w:lang w:val="es-ES"/>
              </w:rPr>
            </w:pPr>
            <w:r w:rsidRPr="00103579">
              <w:rPr>
                <w:lang w:val="es-ES"/>
              </w:rPr>
              <w:t>11</w:t>
            </w:r>
          </w:p>
        </w:tc>
        <w:tc>
          <w:tcPr>
            <w:tcW w:w="6237" w:type="dxa"/>
            <w:shd w:val="clear" w:color="auto" w:fill="00B0F0"/>
          </w:tcPr>
          <w:p w:rsidR="007C47E7" w:rsidRPr="00103579" w:rsidRDefault="007C47E7" w:rsidP="002C5FE2">
            <w:pPr>
              <w:rPr>
                <w:lang w:val="es-ES"/>
              </w:rPr>
            </w:pPr>
            <w:r w:rsidRPr="00103579">
              <w:rPr>
                <w:lang w:val="es-ES"/>
              </w:rPr>
              <w:t>Ley de Sujetos Protegidos</w:t>
            </w:r>
          </w:p>
        </w:tc>
        <w:tc>
          <w:tcPr>
            <w:tcW w:w="1887" w:type="dxa"/>
            <w:shd w:val="clear" w:color="auto" w:fill="00B0F0"/>
          </w:tcPr>
          <w:p w:rsidR="007C47E7" w:rsidRPr="00103579" w:rsidRDefault="007C47E7" w:rsidP="002C5FE2">
            <w:pPr>
              <w:jc w:val="center"/>
              <w:rPr>
                <w:lang w:val="es-ES"/>
              </w:rPr>
            </w:pPr>
            <w:r w:rsidRPr="00103579">
              <w:rPr>
                <w:lang w:val="es-ES"/>
              </w:rPr>
              <w:t>4/32</w:t>
            </w:r>
          </w:p>
        </w:tc>
      </w:tr>
      <w:tr w:rsidR="007C47E7" w:rsidRPr="00103579" w:rsidTr="002C5FE2">
        <w:tc>
          <w:tcPr>
            <w:tcW w:w="704" w:type="dxa"/>
            <w:shd w:val="clear" w:color="auto" w:fill="00B0F0"/>
          </w:tcPr>
          <w:p w:rsidR="007C47E7" w:rsidRPr="00103579" w:rsidRDefault="007C47E7" w:rsidP="002C5FE2">
            <w:pPr>
              <w:rPr>
                <w:lang w:val="es-ES"/>
              </w:rPr>
            </w:pPr>
            <w:r w:rsidRPr="00103579">
              <w:rPr>
                <w:lang w:val="es-ES"/>
              </w:rPr>
              <w:t>12</w:t>
            </w:r>
          </w:p>
        </w:tc>
        <w:tc>
          <w:tcPr>
            <w:tcW w:w="6237" w:type="dxa"/>
            <w:shd w:val="clear" w:color="auto" w:fill="00B0F0"/>
          </w:tcPr>
          <w:p w:rsidR="007C47E7" w:rsidRPr="00103579" w:rsidRDefault="007C47E7" w:rsidP="002C5FE2">
            <w:pPr>
              <w:rPr>
                <w:lang w:val="es-ES"/>
              </w:rPr>
            </w:pPr>
            <w:r w:rsidRPr="00103579">
              <w:rPr>
                <w:lang w:val="es-ES"/>
              </w:rPr>
              <w:t>Ley de Administración de Bienes Asegurados y Decomisados</w:t>
            </w:r>
          </w:p>
        </w:tc>
        <w:tc>
          <w:tcPr>
            <w:tcW w:w="1887" w:type="dxa"/>
            <w:shd w:val="clear" w:color="auto" w:fill="00B0F0"/>
          </w:tcPr>
          <w:p w:rsidR="007C47E7" w:rsidRPr="00103579" w:rsidRDefault="007C47E7" w:rsidP="002C5FE2">
            <w:pPr>
              <w:jc w:val="center"/>
              <w:rPr>
                <w:lang w:val="es-ES"/>
              </w:rPr>
            </w:pPr>
            <w:r w:rsidRPr="00103579">
              <w:rPr>
                <w:lang w:val="es-ES"/>
              </w:rPr>
              <w:t>6/32</w:t>
            </w:r>
          </w:p>
        </w:tc>
      </w:tr>
      <w:tr w:rsidR="007C47E7" w:rsidRPr="00103579" w:rsidTr="002C5FE2">
        <w:tc>
          <w:tcPr>
            <w:tcW w:w="704" w:type="dxa"/>
            <w:shd w:val="clear" w:color="auto" w:fill="00B0F0"/>
          </w:tcPr>
          <w:p w:rsidR="007C47E7" w:rsidRPr="00103579" w:rsidRDefault="007C47E7" w:rsidP="002C5FE2">
            <w:pPr>
              <w:rPr>
                <w:lang w:val="es-ES"/>
              </w:rPr>
            </w:pPr>
            <w:r w:rsidRPr="00103579">
              <w:rPr>
                <w:lang w:val="es-ES"/>
              </w:rPr>
              <w:t>13</w:t>
            </w:r>
          </w:p>
        </w:tc>
        <w:tc>
          <w:tcPr>
            <w:tcW w:w="6237" w:type="dxa"/>
            <w:shd w:val="clear" w:color="auto" w:fill="00B0F0"/>
          </w:tcPr>
          <w:p w:rsidR="007C47E7" w:rsidRPr="00103579" w:rsidRDefault="007C47E7" w:rsidP="002C5FE2">
            <w:pPr>
              <w:rPr>
                <w:lang w:val="es-ES"/>
              </w:rPr>
            </w:pPr>
            <w:r w:rsidRPr="00103579">
              <w:rPr>
                <w:lang w:val="es-ES"/>
              </w:rPr>
              <w:t>Ley de Medidas Cautelares</w:t>
            </w:r>
          </w:p>
        </w:tc>
        <w:tc>
          <w:tcPr>
            <w:tcW w:w="1887" w:type="dxa"/>
            <w:shd w:val="clear" w:color="auto" w:fill="00B0F0"/>
          </w:tcPr>
          <w:p w:rsidR="007C47E7" w:rsidRPr="00103579" w:rsidRDefault="007C47E7" w:rsidP="002C5FE2">
            <w:pPr>
              <w:jc w:val="center"/>
              <w:rPr>
                <w:lang w:val="es-ES"/>
              </w:rPr>
            </w:pPr>
            <w:r w:rsidRPr="00103579">
              <w:rPr>
                <w:lang w:val="es-ES"/>
              </w:rPr>
              <w:t>3/32</w:t>
            </w:r>
          </w:p>
        </w:tc>
      </w:tr>
      <w:tr w:rsidR="007C47E7" w:rsidRPr="00103579" w:rsidTr="002C5FE2">
        <w:tc>
          <w:tcPr>
            <w:tcW w:w="704" w:type="dxa"/>
            <w:shd w:val="clear" w:color="auto" w:fill="00B0F0"/>
          </w:tcPr>
          <w:p w:rsidR="007C47E7" w:rsidRPr="00103579" w:rsidRDefault="007C47E7" w:rsidP="002C5FE2">
            <w:pPr>
              <w:rPr>
                <w:lang w:val="es-ES"/>
              </w:rPr>
            </w:pPr>
            <w:r w:rsidRPr="00103579">
              <w:rPr>
                <w:lang w:val="es-ES"/>
              </w:rPr>
              <w:t>14</w:t>
            </w:r>
          </w:p>
        </w:tc>
        <w:tc>
          <w:tcPr>
            <w:tcW w:w="6237" w:type="dxa"/>
            <w:shd w:val="clear" w:color="auto" w:fill="00B0F0"/>
          </w:tcPr>
          <w:p w:rsidR="007C47E7" w:rsidRPr="00103579" w:rsidRDefault="007C47E7" w:rsidP="002C5FE2">
            <w:pPr>
              <w:rPr>
                <w:lang w:val="es-ES"/>
              </w:rPr>
            </w:pPr>
            <w:r w:rsidRPr="00103579">
              <w:rPr>
                <w:lang w:val="es-ES"/>
              </w:rPr>
              <w:t>Ley de Extinción de Dominio</w:t>
            </w:r>
          </w:p>
        </w:tc>
        <w:tc>
          <w:tcPr>
            <w:tcW w:w="1887" w:type="dxa"/>
            <w:shd w:val="clear" w:color="auto" w:fill="00B0F0"/>
          </w:tcPr>
          <w:p w:rsidR="007C47E7" w:rsidRPr="00103579" w:rsidRDefault="007C47E7" w:rsidP="002C5FE2">
            <w:pPr>
              <w:jc w:val="center"/>
              <w:rPr>
                <w:lang w:val="es-ES"/>
              </w:rPr>
            </w:pPr>
            <w:r w:rsidRPr="00103579">
              <w:rPr>
                <w:lang w:val="es-ES"/>
              </w:rPr>
              <w:t>19/32</w:t>
            </w:r>
          </w:p>
        </w:tc>
      </w:tr>
      <w:tr w:rsidR="007C47E7" w:rsidRPr="00103579" w:rsidTr="002C5FE2">
        <w:tc>
          <w:tcPr>
            <w:tcW w:w="704" w:type="dxa"/>
            <w:shd w:val="clear" w:color="auto" w:fill="00B0F0"/>
          </w:tcPr>
          <w:p w:rsidR="007C47E7" w:rsidRPr="00103579" w:rsidRDefault="007C47E7" w:rsidP="002C5FE2">
            <w:pPr>
              <w:rPr>
                <w:lang w:val="es-ES"/>
              </w:rPr>
            </w:pPr>
            <w:r w:rsidRPr="00103579">
              <w:rPr>
                <w:lang w:val="es-ES"/>
              </w:rPr>
              <w:t>15</w:t>
            </w:r>
          </w:p>
        </w:tc>
        <w:tc>
          <w:tcPr>
            <w:tcW w:w="6237" w:type="dxa"/>
            <w:shd w:val="clear" w:color="auto" w:fill="00B0F0"/>
          </w:tcPr>
          <w:p w:rsidR="007C47E7" w:rsidRPr="00103579" w:rsidRDefault="007C47E7" w:rsidP="002C5FE2">
            <w:pPr>
              <w:rPr>
                <w:lang w:val="es-ES"/>
              </w:rPr>
            </w:pPr>
            <w:r w:rsidRPr="00103579">
              <w:rPr>
                <w:lang w:val="es-ES"/>
              </w:rPr>
              <w:t>Ley en Materia de Secuestro</w:t>
            </w:r>
          </w:p>
        </w:tc>
        <w:tc>
          <w:tcPr>
            <w:tcW w:w="1887" w:type="dxa"/>
            <w:shd w:val="clear" w:color="auto" w:fill="00B0F0"/>
          </w:tcPr>
          <w:p w:rsidR="007C47E7" w:rsidRPr="00103579" w:rsidRDefault="007C47E7" w:rsidP="002C5FE2">
            <w:pPr>
              <w:jc w:val="center"/>
              <w:rPr>
                <w:lang w:val="es-ES"/>
              </w:rPr>
            </w:pPr>
            <w:r w:rsidRPr="00103579">
              <w:rPr>
                <w:lang w:val="es-ES"/>
              </w:rPr>
              <w:t>1/32</w:t>
            </w:r>
          </w:p>
        </w:tc>
      </w:tr>
      <w:tr w:rsidR="007C47E7" w:rsidRPr="00103579" w:rsidTr="002C5FE2">
        <w:tc>
          <w:tcPr>
            <w:tcW w:w="704" w:type="dxa"/>
            <w:shd w:val="clear" w:color="auto" w:fill="00B0F0"/>
          </w:tcPr>
          <w:p w:rsidR="007C47E7" w:rsidRPr="00103579" w:rsidRDefault="007C47E7" w:rsidP="002C5FE2">
            <w:pPr>
              <w:rPr>
                <w:lang w:val="es-ES"/>
              </w:rPr>
            </w:pPr>
            <w:r w:rsidRPr="00103579">
              <w:rPr>
                <w:lang w:val="es-ES"/>
              </w:rPr>
              <w:lastRenderedPageBreak/>
              <w:t>16</w:t>
            </w:r>
          </w:p>
        </w:tc>
        <w:tc>
          <w:tcPr>
            <w:tcW w:w="6237" w:type="dxa"/>
            <w:shd w:val="clear" w:color="auto" w:fill="00B0F0"/>
          </w:tcPr>
          <w:p w:rsidR="007C47E7" w:rsidRPr="00103579" w:rsidRDefault="007C47E7" w:rsidP="002C5FE2">
            <w:pPr>
              <w:rPr>
                <w:lang w:val="es-ES"/>
              </w:rPr>
            </w:pPr>
            <w:r w:rsidRPr="00103579">
              <w:rPr>
                <w:lang w:val="es-ES"/>
              </w:rPr>
              <w:t>Ley en Materia de Trata de Personas</w:t>
            </w:r>
          </w:p>
        </w:tc>
        <w:tc>
          <w:tcPr>
            <w:tcW w:w="1887" w:type="dxa"/>
            <w:shd w:val="clear" w:color="auto" w:fill="00B0F0"/>
          </w:tcPr>
          <w:p w:rsidR="007C47E7" w:rsidRPr="00103579" w:rsidRDefault="007C47E7" w:rsidP="002C5FE2">
            <w:pPr>
              <w:jc w:val="center"/>
              <w:rPr>
                <w:lang w:val="es-ES"/>
              </w:rPr>
            </w:pPr>
            <w:r w:rsidRPr="00103579">
              <w:rPr>
                <w:lang w:val="es-ES"/>
              </w:rPr>
              <w:t>24/32</w:t>
            </w:r>
          </w:p>
        </w:tc>
      </w:tr>
      <w:tr w:rsidR="007C47E7" w:rsidRPr="00103579" w:rsidTr="002C5FE2">
        <w:tc>
          <w:tcPr>
            <w:tcW w:w="704" w:type="dxa"/>
            <w:shd w:val="clear" w:color="auto" w:fill="00B0F0"/>
          </w:tcPr>
          <w:p w:rsidR="007C47E7" w:rsidRPr="00103579" w:rsidRDefault="007C47E7" w:rsidP="002C5FE2">
            <w:pPr>
              <w:rPr>
                <w:b/>
                <w:lang w:val="es-ES"/>
              </w:rPr>
            </w:pPr>
            <w:r w:rsidRPr="00103579">
              <w:rPr>
                <w:b/>
                <w:lang w:val="es-ES"/>
              </w:rPr>
              <w:t>100</w:t>
            </w:r>
          </w:p>
        </w:tc>
        <w:tc>
          <w:tcPr>
            <w:tcW w:w="6237" w:type="dxa"/>
            <w:shd w:val="clear" w:color="auto" w:fill="00B0F0"/>
          </w:tcPr>
          <w:p w:rsidR="007C47E7" w:rsidRPr="00103579" w:rsidRDefault="007C47E7" w:rsidP="002C5FE2">
            <w:pPr>
              <w:jc w:val="center"/>
              <w:rPr>
                <w:b/>
                <w:lang w:val="es-ES"/>
              </w:rPr>
            </w:pPr>
            <w:r w:rsidRPr="00103579">
              <w:rPr>
                <w:b/>
                <w:lang w:val="es-ES"/>
              </w:rPr>
              <w:t>Total</w:t>
            </w:r>
          </w:p>
        </w:tc>
        <w:tc>
          <w:tcPr>
            <w:tcW w:w="1887" w:type="dxa"/>
            <w:shd w:val="clear" w:color="auto" w:fill="00B0F0"/>
          </w:tcPr>
          <w:p w:rsidR="007C47E7" w:rsidRPr="00103579" w:rsidRDefault="007C47E7" w:rsidP="002C5FE2">
            <w:pPr>
              <w:jc w:val="center"/>
              <w:rPr>
                <w:b/>
                <w:lang w:val="es-ES"/>
              </w:rPr>
            </w:pPr>
            <w:r w:rsidRPr="00103579">
              <w:rPr>
                <w:b/>
                <w:lang w:val="es-ES"/>
              </w:rPr>
              <w:t>277/512</w:t>
            </w:r>
          </w:p>
        </w:tc>
      </w:tr>
    </w:tbl>
    <w:p w:rsidR="007C47E7" w:rsidRPr="00103579" w:rsidRDefault="007C47E7" w:rsidP="007C47E7">
      <w:pPr>
        <w:spacing w:after="0"/>
        <w:rPr>
          <w:rFonts w:cs="Arial"/>
          <w:szCs w:val="24"/>
        </w:rPr>
      </w:pPr>
    </w:p>
    <w:p w:rsidR="007C47E7" w:rsidRPr="00103579" w:rsidRDefault="007C47E7" w:rsidP="007C47E7">
      <w:pPr>
        <w:spacing w:after="0"/>
        <w:rPr>
          <w:rFonts w:cs="Arial"/>
          <w:szCs w:val="24"/>
        </w:rPr>
      </w:pPr>
      <w:r w:rsidRPr="00103579">
        <w:rPr>
          <w:rFonts w:cs="Arial"/>
          <w:szCs w:val="24"/>
        </w:rPr>
        <w:t>Otras reformas que son duda son fundamentales en este contexto son: la reforma constitucional en materia de Derechos Humanos</w:t>
      </w:r>
      <w:r w:rsidRPr="00103579">
        <w:rPr>
          <w:rStyle w:val="Refdenotaalpie"/>
          <w:rFonts w:cs="Arial"/>
          <w:szCs w:val="24"/>
        </w:rPr>
        <w:footnoteReference w:id="16"/>
      </w:r>
      <w:r w:rsidRPr="00103579">
        <w:rPr>
          <w:rFonts w:cs="Arial"/>
          <w:szCs w:val="24"/>
        </w:rPr>
        <w:t>, la Ley de Amparo, Reglamentaria de los artículo 103 y 107 Constitucionales</w:t>
      </w:r>
      <w:r w:rsidRPr="00103579">
        <w:rPr>
          <w:rStyle w:val="Refdenotaalpie"/>
          <w:rFonts w:cs="Arial"/>
          <w:szCs w:val="24"/>
        </w:rPr>
        <w:footnoteReference w:id="17"/>
      </w:r>
      <w:r w:rsidRPr="00103579">
        <w:rPr>
          <w:rFonts w:cs="Arial"/>
          <w:szCs w:val="24"/>
        </w:rPr>
        <w:t>, se cuenta con una Ley Nacional de Mecanismos Alternos de Solución de Controversias en Materia Penal</w:t>
      </w:r>
      <w:r w:rsidRPr="00103579">
        <w:rPr>
          <w:rStyle w:val="Refdenotaalpie"/>
          <w:rFonts w:cs="Arial"/>
          <w:szCs w:val="24"/>
        </w:rPr>
        <w:footnoteReference w:id="18"/>
      </w:r>
      <w:r w:rsidRPr="00103579">
        <w:rPr>
          <w:rFonts w:cs="Arial"/>
          <w:szCs w:val="24"/>
        </w:rPr>
        <w:t>, así como una Ley Federal de Justicia para adolescentes</w:t>
      </w:r>
      <w:r w:rsidRPr="00103579">
        <w:rPr>
          <w:rStyle w:val="Refdenotaalpie"/>
          <w:rFonts w:cs="Arial"/>
          <w:szCs w:val="24"/>
        </w:rPr>
        <w:footnoteReference w:id="19"/>
      </w:r>
      <w:r w:rsidRPr="00103579">
        <w:rPr>
          <w:rFonts w:cs="Arial"/>
          <w:szCs w:val="24"/>
        </w:rPr>
        <w:t xml:space="preserve"> y se emitió el Acuerdo A009/15 de la Procuraduría General de la República por el que se establecen las directrices que deberán observar los servidores públicos que intervengan en materia de cadena de custodia</w:t>
      </w:r>
      <w:r w:rsidRPr="00103579">
        <w:rPr>
          <w:rStyle w:val="Refdenotaalpie"/>
          <w:rFonts w:cs="Arial"/>
          <w:szCs w:val="24"/>
        </w:rPr>
        <w:footnoteReference w:id="20"/>
      </w:r>
      <w:r w:rsidRPr="00103579">
        <w:rPr>
          <w:rFonts w:cs="Arial"/>
          <w:szCs w:val="24"/>
        </w:rPr>
        <w:t>.</w:t>
      </w:r>
    </w:p>
    <w:p w:rsidR="007C47E7" w:rsidRPr="00103579" w:rsidRDefault="007C47E7" w:rsidP="007C47E7">
      <w:pPr>
        <w:spacing w:after="0"/>
        <w:rPr>
          <w:rFonts w:cs="Arial"/>
          <w:szCs w:val="24"/>
        </w:rPr>
      </w:pPr>
    </w:p>
    <w:p w:rsidR="007C47E7" w:rsidRPr="00103579" w:rsidRDefault="007C47E7" w:rsidP="007C47E7">
      <w:pPr>
        <w:spacing w:after="0"/>
        <w:rPr>
          <w:rFonts w:cs="Arial"/>
          <w:szCs w:val="24"/>
        </w:rPr>
      </w:pPr>
      <w:r w:rsidRPr="00103579">
        <w:rPr>
          <w:rFonts w:cs="Arial"/>
          <w:szCs w:val="24"/>
        </w:rPr>
        <w:t>Sin embargo, el panorama dista de ser complaciente, toda vez que en el balance existen aún muchos pendientes entre los cuales se encuentran:</w:t>
      </w:r>
    </w:p>
    <w:p w:rsidR="007C47E7" w:rsidRPr="00103579" w:rsidRDefault="007C47E7" w:rsidP="007C47E7">
      <w:pPr>
        <w:spacing w:after="0"/>
        <w:rPr>
          <w:rFonts w:cs="Arial"/>
          <w:szCs w:val="24"/>
        </w:rPr>
      </w:pPr>
    </w:p>
    <w:p w:rsidR="007C47E7" w:rsidRPr="00103579" w:rsidRDefault="007C47E7" w:rsidP="007C47E7">
      <w:pPr>
        <w:pStyle w:val="Prrafodelista"/>
        <w:numPr>
          <w:ilvl w:val="0"/>
          <w:numId w:val="9"/>
        </w:numPr>
        <w:spacing w:after="0" w:line="259" w:lineRule="auto"/>
        <w:jc w:val="both"/>
        <w:rPr>
          <w:rFonts w:ascii="Garamond" w:hAnsi="Garamond" w:cs="Arial"/>
          <w:sz w:val="24"/>
          <w:szCs w:val="24"/>
        </w:rPr>
      </w:pPr>
      <w:r w:rsidRPr="00103579">
        <w:rPr>
          <w:rFonts w:ascii="Garamond" w:hAnsi="Garamond" w:cs="Arial"/>
          <w:sz w:val="24"/>
          <w:szCs w:val="24"/>
        </w:rPr>
        <w:t>Está pendiente la emisión de la Ley Nacional de ejecución de sanciones.</w:t>
      </w:r>
    </w:p>
    <w:p w:rsidR="007C47E7" w:rsidRPr="00103579" w:rsidRDefault="007C47E7" w:rsidP="007C47E7">
      <w:pPr>
        <w:pStyle w:val="Prrafodelista"/>
        <w:numPr>
          <w:ilvl w:val="0"/>
          <w:numId w:val="9"/>
        </w:numPr>
        <w:spacing w:after="0" w:line="259" w:lineRule="auto"/>
        <w:jc w:val="both"/>
        <w:rPr>
          <w:rFonts w:ascii="Garamond" w:hAnsi="Garamond" w:cs="Arial"/>
          <w:sz w:val="24"/>
          <w:szCs w:val="24"/>
        </w:rPr>
      </w:pPr>
      <w:r w:rsidRPr="00103579">
        <w:rPr>
          <w:rFonts w:ascii="Garamond" w:hAnsi="Garamond" w:cs="Arial"/>
          <w:sz w:val="24"/>
          <w:szCs w:val="24"/>
        </w:rPr>
        <w:t>La inversión para equipamiento, infraestructura y capacitación sigue siendo insuficiente.</w:t>
      </w:r>
    </w:p>
    <w:p w:rsidR="007C47E7" w:rsidRPr="00103579" w:rsidRDefault="007C47E7" w:rsidP="007C47E7">
      <w:pPr>
        <w:pStyle w:val="Prrafodelista"/>
        <w:numPr>
          <w:ilvl w:val="0"/>
          <w:numId w:val="9"/>
        </w:numPr>
        <w:spacing w:after="0" w:line="259" w:lineRule="auto"/>
        <w:jc w:val="both"/>
        <w:rPr>
          <w:rFonts w:ascii="Garamond" w:hAnsi="Garamond" w:cs="Arial"/>
          <w:sz w:val="24"/>
          <w:szCs w:val="24"/>
        </w:rPr>
      </w:pPr>
      <w:r w:rsidRPr="00103579">
        <w:rPr>
          <w:rFonts w:ascii="Garamond" w:hAnsi="Garamond" w:cs="Arial"/>
          <w:sz w:val="24"/>
          <w:szCs w:val="24"/>
        </w:rPr>
        <w:t>No hay indicadores establecidos para el seguimiento de la operación del sistema.</w:t>
      </w:r>
    </w:p>
    <w:p w:rsidR="007C47E7" w:rsidRPr="00103579" w:rsidRDefault="007C47E7" w:rsidP="007C47E7">
      <w:pPr>
        <w:pStyle w:val="Prrafodelista"/>
        <w:numPr>
          <w:ilvl w:val="0"/>
          <w:numId w:val="9"/>
        </w:numPr>
        <w:spacing w:after="0" w:line="259" w:lineRule="auto"/>
        <w:jc w:val="both"/>
        <w:rPr>
          <w:rFonts w:ascii="Garamond" w:hAnsi="Garamond" w:cs="Arial"/>
          <w:sz w:val="24"/>
          <w:szCs w:val="24"/>
        </w:rPr>
      </w:pPr>
      <w:r w:rsidRPr="00103579">
        <w:rPr>
          <w:rFonts w:ascii="Garamond" w:hAnsi="Garamond" w:cs="Arial"/>
          <w:sz w:val="24"/>
          <w:szCs w:val="24"/>
        </w:rPr>
        <w:t>No se ha emitido el Código Único Penal.</w:t>
      </w:r>
    </w:p>
    <w:p w:rsidR="007C47E7" w:rsidRPr="00103579" w:rsidRDefault="007C47E7" w:rsidP="007C47E7">
      <w:pPr>
        <w:pStyle w:val="Prrafodelista"/>
        <w:numPr>
          <w:ilvl w:val="0"/>
          <w:numId w:val="9"/>
        </w:numPr>
        <w:spacing w:after="0" w:line="259" w:lineRule="auto"/>
        <w:jc w:val="both"/>
        <w:rPr>
          <w:rFonts w:ascii="Garamond" w:hAnsi="Garamond" w:cs="Arial"/>
          <w:sz w:val="24"/>
          <w:szCs w:val="24"/>
        </w:rPr>
      </w:pPr>
      <w:r w:rsidRPr="00103579">
        <w:rPr>
          <w:rFonts w:ascii="Garamond" w:hAnsi="Garamond" w:cs="Arial"/>
          <w:sz w:val="24"/>
          <w:szCs w:val="24"/>
        </w:rPr>
        <w:t>Solamente un 20% de las universidades han modificado sus planes de estudio para la enseñanza del sistema acusatorio.</w:t>
      </w:r>
    </w:p>
    <w:p w:rsidR="007C47E7" w:rsidRPr="00103579" w:rsidRDefault="007C47E7" w:rsidP="007C47E7">
      <w:pPr>
        <w:pStyle w:val="Prrafodelista"/>
        <w:numPr>
          <w:ilvl w:val="0"/>
          <w:numId w:val="9"/>
        </w:numPr>
        <w:spacing w:after="0" w:line="259" w:lineRule="auto"/>
        <w:jc w:val="both"/>
        <w:rPr>
          <w:rFonts w:ascii="Garamond" w:hAnsi="Garamond" w:cs="Arial"/>
          <w:sz w:val="24"/>
          <w:szCs w:val="24"/>
        </w:rPr>
      </w:pPr>
      <w:r w:rsidRPr="00103579">
        <w:rPr>
          <w:rFonts w:ascii="Garamond" w:hAnsi="Garamond" w:cs="Arial"/>
          <w:sz w:val="24"/>
          <w:szCs w:val="24"/>
        </w:rPr>
        <w:t>Falta la emisión del Informe Policial homologado.</w:t>
      </w:r>
    </w:p>
    <w:p w:rsidR="007C47E7" w:rsidRPr="00103579" w:rsidRDefault="007C47E7" w:rsidP="007C47E7">
      <w:pPr>
        <w:pStyle w:val="Prrafodelista"/>
        <w:numPr>
          <w:ilvl w:val="0"/>
          <w:numId w:val="9"/>
        </w:numPr>
        <w:spacing w:after="0" w:line="259" w:lineRule="auto"/>
        <w:jc w:val="both"/>
        <w:rPr>
          <w:rFonts w:ascii="Garamond" w:hAnsi="Garamond" w:cs="Arial"/>
          <w:sz w:val="24"/>
          <w:szCs w:val="24"/>
        </w:rPr>
      </w:pPr>
      <w:r w:rsidRPr="00103579">
        <w:rPr>
          <w:rFonts w:ascii="Garamond" w:hAnsi="Garamond" w:cs="Arial"/>
          <w:sz w:val="24"/>
          <w:szCs w:val="24"/>
        </w:rPr>
        <w:t>Se debe armonizar el sistema acusatorio con el Juicio de Amparo.</w:t>
      </w:r>
    </w:p>
    <w:p w:rsidR="007C47E7" w:rsidRPr="00103579" w:rsidRDefault="007C47E7" w:rsidP="007C47E7">
      <w:pPr>
        <w:pStyle w:val="Prrafodelista"/>
        <w:numPr>
          <w:ilvl w:val="0"/>
          <w:numId w:val="9"/>
        </w:numPr>
        <w:spacing w:after="0" w:line="259" w:lineRule="auto"/>
        <w:jc w:val="both"/>
        <w:rPr>
          <w:rFonts w:ascii="Garamond" w:hAnsi="Garamond" w:cs="Arial"/>
          <w:sz w:val="24"/>
          <w:szCs w:val="24"/>
        </w:rPr>
      </w:pPr>
      <w:r w:rsidRPr="00103579">
        <w:rPr>
          <w:rFonts w:ascii="Garamond" w:hAnsi="Garamond" w:cs="Arial"/>
          <w:sz w:val="24"/>
          <w:szCs w:val="24"/>
        </w:rPr>
        <w:t>Falta avanzar en la colegiación profesional de los abogados.</w:t>
      </w:r>
    </w:p>
    <w:p w:rsidR="007C47E7" w:rsidRPr="00103579" w:rsidRDefault="007C47E7" w:rsidP="007C47E7">
      <w:pPr>
        <w:pStyle w:val="Prrafodelista"/>
        <w:numPr>
          <w:ilvl w:val="0"/>
          <w:numId w:val="9"/>
        </w:numPr>
        <w:spacing w:after="0" w:line="259" w:lineRule="auto"/>
        <w:jc w:val="both"/>
        <w:rPr>
          <w:rFonts w:ascii="Garamond" w:hAnsi="Garamond" w:cs="Arial"/>
          <w:sz w:val="24"/>
          <w:szCs w:val="24"/>
        </w:rPr>
      </w:pPr>
      <w:r w:rsidRPr="00103579">
        <w:rPr>
          <w:rFonts w:ascii="Garamond" w:hAnsi="Garamond" w:cs="Arial"/>
          <w:sz w:val="24"/>
          <w:szCs w:val="24"/>
        </w:rPr>
        <w:t>Aún no se cuenta con la certificación y capacitación completa de la Policía para operar bajo las reglas y principios del sistema procesal penal acusatorio.</w:t>
      </w:r>
    </w:p>
    <w:p w:rsidR="007C47E7" w:rsidRPr="00103579" w:rsidRDefault="007C47E7" w:rsidP="007C47E7">
      <w:pPr>
        <w:pStyle w:val="Prrafodelista"/>
        <w:numPr>
          <w:ilvl w:val="0"/>
          <w:numId w:val="9"/>
        </w:numPr>
        <w:spacing w:after="0" w:line="259" w:lineRule="auto"/>
        <w:jc w:val="both"/>
        <w:rPr>
          <w:rFonts w:ascii="Garamond" w:hAnsi="Garamond" w:cs="Arial"/>
          <w:sz w:val="24"/>
          <w:szCs w:val="24"/>
        </w:rPr>
      </w:pPr>
      <w:r w:rsidRPr="00103579">
        <w:rPr>
          <w:rFonts w:ascii="Garamond" w:hAnsi="Garamond" w:cs="Arial"/>
          <w:sz w:val="24"/>
          <w:szCs w:val="24"/>
        </w:rPr>
        <w:t>Falta de difusión del contenido y alcances de la reforma constitucional.</w:t>
      </w:r>
    </w:p>
    <w:p w:rsidR="007C47E7" w:rsidRPr="00103579" w:rsidRDefault="007C47E7" w:rsidP="007C47E7">
      <w:pPr>
        <w:spacing w:after="0"/>
        <w:rPr>
          <w:rFonts w:cs="Arial"/>
          <w:szCs w:val="24"/>
        </w:rPr>
      </w:pPr>
    </w:p>
    <w:p w:rsidR="007C47E7" w:rsidRPr="00103579" w:rsidRDefault="007C47E7" w:rsidP="007C47E7">
      <w:pPr>
        <w:spacing w:after="0" w:line="240" w:lineRule="auto"/>
        <w:rPr>
          <w:rFonts w:cs="Arial"/>
          <w:szCs w:val="24"/>
        </w:rPr>
      </w:pPr>
      <w:r w:rsidRPr="00103579">
        <w:rPr>
          <w:rFonts w:cs="Arial"/>
          <w:szCs w:val="24"/>
        </w:rPr>
        <w:t>Por otra parte, un reporte de implementación del sistema, elaborado por el Centro de Estudios de Justicia para las Américas (CEJA) nos brinda alguna información al respecto</w:t>
      </w:r>
      <w:r w:rsidRPr="00103579">
        <w:rPr>
          <w:rStyle w:val="Refdenotaalpie"/>
          <w:rFonts w:cs="Arial"/>
          <w:szCs w:val="24"/>
        </w:rPr>
        <w:footnoteReference w:id="21"/>
      </w:r>
      <w:r w:rsidRPr="00103579">
        <w:rPr>
          <w:rFonts w:cs="Arial"/>
          <w:szCs w:val="24"/>
        </w:rPr>
        <w:t>:</w:t>
      </w:r>
    </w:p>
    <w:p w:rsidR="007C47E7" w:rsidRPr="00103579" w:rsidRDefault="007C47E7" w:rsidP="007C47E7">
      <w:pPr>
        <w:spacing w:after="0" w:line="240" w:lineRule="auto"/>
        <w:rPr>
          <w:rFonts w:cs="Arial"/>
          <w:szCs w:val="24"/>
        </w:rPr>
      </w:pPr>
    </w:p>
    <w:p w:rsidR="007C47E7" w:rsidRPr="00103579" w:rsidRDefault="007C47E7" w:rsidP="007C47E7">
      <w:pPr>
        <w:spacing w:after="0" w:line="240" w:lineRule="auto"/>
        <w:rPr>
          <w:rFonts w:cs="Arial"/>
          <w:szCs w:val="24"/>
        </w:rPr>
      </w:pPr>
      <w:r w:rsidRPr="00103579">
        <w:rPr>
          <w:rFonts w:cs="Arial"/>
          <w:szCs w:val="24"/>
        </w:rPr>
        <w:t>Por ejemplo: la justicia alternativa está funcionando.</w:t>
      </w:r>
    </w:p>
    <w:p w:rsidR="007C47E7" w:rsidRPr="00103579" w:rsidRDefault="007C47E7" w:rsidP="007C47E7">
      <w:pPr>
        <w:spacing w:after="0" w:line="240" w:lineRule="auto"/>
        <w:rPr>
          <w:rFonts w:cs="Arial"/>
          <w:szCs w:val="24"/>
        </w:rPr>
      </w:pPr>
    </w:p>
    <w:p w:rsidR="007C47E7" w:rsidRPr="00103579" w:rsidRDefault="007C47E7" w:rsidP="007C47E7">
      <w:pPr>
        <w:pStyle w:val="Prrafodelista"/>
        <w:numPr>
          <w:ilvl w:val="0"/>
          <w:numId w:val="13"/>
        </w:numPr>
        <w:spacing w:after="0" w:line="240" w:lineRule="auto"/>
        <w:jc w:val="both"/>
        <w:rPr>
          <w:rFonts w:ascii="Garamond" w:hAnsi="Garamond" w:cs="Arial"/>
          <w:sz w:val="24"/>
          <w:szCs w:val="24"/>
        </w:rPr>
      </w:pPr>
      <w:r w:rsidRPr="00103579">
        <w:rPr>
          <w:rFonts w:ascii="Garamond" w:hAnsi="Garamond" w:cs="Arial"/>
          <w:sz w:val="24"/>
          <w:szCs w:val="24"/>
        </w:rPr>
        <w:t>Delitos de alto impacto social como homicidio calificado, violación, secuestro y robo agravado están llegando a juicio y obteniendo sentencias más altas.</w:t>
      </w:r>
    </w:p>
    <w:p w:rsidR="007C47E7" w:rsidRPr="00103579" w:rsidRDefault="007C47E7" w:rsidP="007C47E7">
      <w:pPr>
        <w:pStyle w:val="Prrafodelista"/>
        <w:numPr>
          <w:ilvl w:val="0"/>
          <w:numId w:val="13"/>
        </w:numPr>
        <w:spacing w:after="0" w:line="240" w:lineRule="auto"/>
        <w:jc w:val="both"/>
        <w:rPr>
          <w:rFonts w:ascii="Garamond" w:hAnsi="Garamond" w:cs="Arial"/>
          <w:sz w:val="24"/>
          <w:szCs w:val="24"/>
        </w:rPr>
      </w:pPr>
      <w:r w:rsidRPr="00103579">
        <w:rPr>
          <w:rFonts w:ascii="Garamond" w:hAnsi="Garamond" w:cs="Arial"/>
          <w:sz w:val="24"/>
          <w:szCs w:val="24"/>
        </w:rPr>
        <w:lastRenderedPageBreak/>
        <w:t>Se cumple con la programación de las audiencias.</w:t>
      </w:r>
    </w:p>
    <w:p w:rsidR="007C47E7" w:rsidRPr="00103579" w:rsidRDefault="007C47E7" w:rsidP="007C47E7">
      <w:pPr>
        <w:pStyle w:val="Prrafodelista"/>
        <w:numPr>
          <w:ilvl w:val="0"/>
          <w:numId w:val="13"/>
        </w:numPr>
        <w:spacing w:after="0" w:line="240" w:lineRule="auto"/>
        <w:jc w:val="both"/>
        <w:rPr>
          <w:rFonts w:ascii="Garamond" w:hAnsi="Garamond" w:cs="Arial"/>
          <w:sz w:val="24"/>
          <w:szCs w:val="24"/>
        </w:rPr>
      </w:pPr>
      <w:r w:rsidRPr="00103579">
        <w:rPr>
          <w:rFonts w:ascii="Garamond" w:hAnsi="Garamond" w:cs="Arial"/>
          <w:sz w:val="24"/>
          <w:szCs w:val="24"/>
        </w:rPr>
        <w:t>Se cumple con el principio de inmediación.</w:t>
      </w:r>
    </w:p>
    <w:p w:rsidR="007C47E7" w:rsidRPr="00103579" w:rsidRDefault="007C47E7" w:rsidP="007C47E7">
      <w:pPr>
        <w:pStyle w:val="Prrafodelista"/>
        <w:numPr>
          <w:ilvl w:val="0"/>
          <w:numId w:val="13"/>
        </w:numPr>
        <w:spacing w:after="0" w:line="240" w:lineRule="auto"/>
        <w:jc w:val="both"/>
        <w:rPr>
          <w:rFonts w:ascii="Garamond" w:hAnsi="Garamond" w:cs="Arial"/>
          <w:sz w:val="24"/>
          <w:szCs w:val="24"/>
        </w:rPr>
      </w:pPr>
      <w:r w:rsidRPr="00103579">
        <w:rPr>
          <w:rFonts w:ascii="Garamond" w:hAnsi="Garamond" w:cs="Arial"/>
          <w:sz w:val="24"/>
          <w:szCs w:val="24"/>
        </w:rPr>
        <w:t>Hay una reducción significativa de la prisión preventiva.</w:t>
      </w:r>
    </w:p>
    <w:p w:rsidR="007C47E7" w:rsidRPr="00103579" w:rsidRDefault="007C47E7" w:rsidP="007C47E7">
      <w:pPr>
        <w:pStyle w:val="Prrafodelista"/>
        <w:numPr>
          <w:ilvl w:val="0"/>
          <w:numId w:val="13"/>
        </w:numPr>
        <w:spacing w:after="0" w:line="240" w:lineRule="auto"/>
        <w:jc w:val="both"/>
        <w:rPr>
          <w:rFonts w:ascii="Garamond" w:hAnsi="Garamond" w:cs="Arial"/>
          <w:sz w:val="24"/>
          <w:szCs w:val="24"/>
        </w:rPr>
      </w:pPr>
      <w:r w:rsidRPr="00103579">
        <w:rPr>
          <w:rFonts w:ascii="Garamond" w:hAnsi="Garamond" w:cs="Arial"/>
          <w:sz w:val="24"/>
          <w:szCs w:val="24"/>
        </w:rPr>
        <w:t>Se está reduciendo el tiempo de enjuiciamiento.</w:t>
      </w:r>
    </w:p>
    <w:p w:rsidR="007C47E7" w:rsidRPr="00103579" w:rsidRDefault="007C47E7" w:rsidP="007C47E7">
      <w:pPr>
        <w:pStyle w:val="Prrafodelista"/>
        <w:numPr>
          <w:ilvl w:val="0"/>
          <w:numId w:val="13"/>
        </w:numPr>
        <w:spacing w:after="0" w:line="240" w:lineRule="auto"/>
        <w:jc w:val="both"/>
        <w:rPr>
          <w:rFonts w:ascii="Garamond" w:hAnsi="Garamond" w:cs="Arial"/>
          <w:sz w:val="24"/>
          <w:szCs w:val="24"/>
        </w:rPr>
      </w:pPr>
      <w:r w:rsidRPr="00103579">
        <w:rPr>
          <w:rFonts w:ascii="Garamond" w:hAnsi="Garamond" w:cs="Arial"/>
          <w:sz w:val="24"/>
          <w:szCs w:val="24"/>
        </w:rPr>
        <w:t>Se ha detectado una buena tasa de cumplimiento de la reparación del daño.</w:t>
      </w:r>
    </w:p>
    <w:p w:rsidR="007C47E7" w:rsidRPr="00103579" w:rsidRDefault="007C47E7" w:rsidP="007C47E7">
      <w:pPr>
        <w:spacing w:after="0" w:line="240" w:lineRule="auto"/>
        <w:rPr>
          <w:rFonts w:cs="Arial"/>
          <w:szCs w:val="24"/>
        </w:rPr>
      </w:pPr>
    </w:p>
    <w:p w:rsidR="007C47E7" w:rsidRPr="00103579" w:rsidRDefault="007C47E7" w:rsidP="007C47E7">
      <w:pPr>
        <w:spacing w:after="0" w:line="240" w:lineRule="auto"/>
        <w:rPr>
          <w:rFonts w:cs="Arial"/>
          <w:szCs w:val="24"/>
        </w:rPr>
      </w:pPr>
      <w:r w:rsidRPr="00103579">
        <w:rPr>
          <w:rFonts w:cs="Arial"/>
          <w:szCs w:val="24"/>
        </w:rPr>
        <w:t>Entre los aspectos en los que se debe trabajar se encuentran los siguientes:</w:t>
      </w:r>
    </w:p>
    <w:p w:rsidR="007C47E7" w:rsidRPr="00103579" w:rsidRDefault="007C47E7" w:rsidP="007C47E7">
      <w:pPr>
        <w:spacing w:after="0" w:line="240" w:lineRule="auto"/>
        <w:rPr>
          <w:rFonts w:cs="Arial"/>
          <w:szCs w:val="24"/>
        </w:rPr>
      </w:pPr>
    </w:p>
    <w:p w:rsidR="007C47E7" w:rsidRPr="00103579" w:rsidRDefault="007C47E7" w:rsidP="007C47E7">
      <w:pPr>
        <w:pStyle w:val="Prrafodelista"/>
        <w:numPr>
          <w:ilvl w:val="0"/>
          <w:numId w:val="12"/>
        </w:numPr>
        <w:spacing w:after="0" w:line="240" w:lineRule="auto"/>
        <w:jc w:val="both"/>
        <w:rPr>
          <w:rFonts w:ascii="Garamond" w:hAnsi="Garamond" w:cs="Arial"/>
          <w:sz w:val="24"/>
          <w:szCs w:val="24"/>
        </w:rPr>
      </w:pPr>
      <w:r w:rsidRPr="00103579">
        <w:rPr>
          <w:rFonts w:ascii="Garamond" w:hAnsi="Garamond" w:cs="Arial"/>
          <w:sz w:val="24"/>
          <w:szCs w:val="24"/>
        </w:rPr>
        <w:t>Se mantiene una cultura de restricción de la información.</w:t>
      </w:r>
    </w:p>
    <w:p w:rsidR="007C47E7" w:rsidRPr="00103579" w:rsidRDefault="007C47E7" w:rsidP="007C47E7">
      <w:pPr>
        <w:pStyle w:val="Prrafodelista"/>
        <w:numPr>
          <w:ilvl w:val="0"/>
          <w:numId w:val="12"/>
        </w:numPr>
        <w:spacing w:after="0" w:line="240" w:lineRule="auto"/>
        <w:jc w:val="both"/>
        <w:rPr>
          <w:rFonts w:ascii="Garamond" w:hAnsi="Garamond" w:cs="Arial"/>
          <w:sz w:val="24"/>
          <w:szCs w:val="24"/>
        </w:rPr>
      </w:pPr>
      <w:r w:rsidRPr="00103579">
        <w:rPr>
          <w:rFonts w:ascii="Garamond" w:hAnsi="Garamond" w:cs="Arial"/>
          <w:sz w:val="24"/>
          <w:szCs w:val="24"/>
        </w:rPr>
        <w:t>El tema de los juicios orales no es un tema aceptado socialmente, o no ha sido informado de manera adecuada.</w:t>
      </w:r>
    </w:p>
    <w:p w:rsidR="007C47E7" w:rsidRPr="00103579" w:rsidRDefault="007C47E7" w:rsidP="007C47E7">
      <w:pPr>
        <w:pStyle w:val="Prrafodelista"/>
        <w:numPr>
          <w:ilvl w:val="0"/>
          <w:numId w:val="12"/>
        </w:numPr>
        <w:spacing w:after="0" w:line="240" w:lineRule="auto"/>
        <w:jc w:val="both"/>
        <w:rPr>
          <w:rFonts w:ascii="Garamond" w:hAnsi="Garamond" w:cs="Arial"/>
          <w:sz w:val="24"/>
          <w:szCs w:val="24"/>
        </w:rPr>
      </w:pPr>
      <w:r w:rsidRPr="00103579">
        <w:rPr>
          <w:rFonts w:ascii="Garamond" w:hAnsi="Garamond" w:cs="Arial"/>
          <w:sz w:val="24"/>
          <w:szCs w:val="24"/>
        </w:rPr>
        <w:t>Se sigue abusando de la lectura por parte del Ministerio Público en las audiencias.</w:t>
      </w:r>
    </w:p>
    <w:p w:rsidR="007C47E7" w:rsidRPr="00103579" w:rsidRDefault="007C47E7" w:rsidP="007C47E7">
      <w:pPr>
        <w:pStyle w:val="Prrafodelista"/>
        <w:numPr>
          <w:ilvl w:val="0"/>
          <w:numId w:val="12"/>
        </w:numPr>
        <w:spacing w:after="0" w:line="240" w:lineRule="auto"/>
        <w:jc w:val="both"/>
        <w:rPr>
          <w:rFonts w:ascii="Garamond" w:hAnsi="Garamond" w:cs="Arial"/>
          <w:sz w:val="24"/>
          <w:szCs w:val="24"/>
        </w:rPr>
      </w:pPr>
      <w:r w:rsidRPr="00103579">
        <w:rPr>
          <w:rFonts w:ascii="Garamond" w:hAnsi="Garamond" w:cs="Arial"/>
          <w:sz w:val="24"/>
          <w:szCs w:val="24"/>
        </w:rPr>
        <w:t>Se subutiliza el criterio de oportunidad.</w:t>
      </w:r>
    </w:p>
    <w:p w:rsidR="007C47E7" w:rsidRPr="00103579" w:rsidRDefault="007C47E7" w:rsidP="007C47E7">
      <w:pPr>
        <w:pStyle w:val="Prrafodelista"/>
        <w:numPr>
          <w:ilvl w:val="0"/>
          <w:numId w:val="12"/>
        </w:numPr>
        <w:spacing w:after="0" w:line="240" w:lineRule="auto"/>
        <w:jc w:val="both"/>
        <w:rPr>
          <w:rFonts w:ascii="Garamond" w:hAnsi="Garamond" w:cs="Arial"/>
          <w:sz w:val="24"/>
          <w:szCs w:val="24"/>
        </w:rPr>
      </w:pPr>
      <w:r w:rsidRPr="00103579">
        <w:rPr>
          <w:rFonts w:ascii="Garamond" w:hAnsi="Garamond" w:cs="Arial"/>
          <w:sz w:val="24"/>
          <w:szCs w:val="24"/>
        </w:rPr>
        <w:t>Se ha notado una limitación del Ministerio Público para llevar las investigaciones a juicio oral.</w:t>
      </w:r>
    </w:p>
    <w:p w:rsidR="007C47E7" w:rsidRPr="00103579" w:rsidRDefault="007C47E7" w:rsidP="007C47E7">
      <w:pPr>
        <w:pStyle w:val="Prrafodelista"/>
        <w:numPr>
          <w:ilvl w:val="0"/>
          <w:numId w:val="12"/>
        </w:numPr>
        <w:spacing w:after="0" w:line="240" w:lineRule="auto"/>
        <w:jc w:val="both"/>
        <w:rPr>
          <w:rFonts w:ascii="Garamond" w:hAnsi="Garamond" w:cs="Arial"/>
          <w:sz w:val="24"/>
          <w:szCs w:val="24"/>
        </w:rPr>
      </w:pPr>
      <w:r w:rsidRPr="00103579">
        <w:rPr>
          <w:rFonts w:ascii="Garamond" w:hAnsi="Garamond" w:cs="Arial"/>
          <w:sz w:val="24"/>
          <w:szCs w:val="24"/>
        </w:rPr>
        <w:t>Se debe continuar con la capacitación en las procuradurías, sobre todo en el manejo de la teoría del caso, los protocolos de investigación criminal y la argumentación jurídica.</w:t>
      </w:r>
    </w:p>
    <w:p w:rsidR="007C47E7" w:rsidRPr="00103579" w:rsidRDefault="007C47E7" w:rsidP="007C47E7">
      <w:pPr>
        <w:pStyle w:val="Prrafodelista"/>
        <w:numPr>
          <w:ilvl w:val="0"/>
          <w:numId w:val="12"/>
        </w:numPr>
        <w:spacing w:after="0" w:line="240" w:lineRule="auto"/>
        <w:jc w:val="both"/>
        <w:rPr>
          <w:rFonts w:ascii="Garamond" w:hAnsi="Garamond" w:cs="Arial"/>
          <w:sz w:val="24"/>
          <w:szCs w:val="24"/>
        </w:rPr>
      </w:pPr>
      <w:r w:rsidRPr="00103579">
        <w:rPr>
          <w:rFonts w:ascii="Garamond" w:hAnsi="Garamond" w:cs="Arial"/>
          <w:sz w:val="24"/>
          <w:szCs w:val="24"/>
        </w:rPr>
        <w:t>Los jueces siguen utilizando un lenguaje demasiado técnico al dirigirse al imputado.</w:t>
      </w:r>
    </w:p>
    <w:p w:rsidR="007C47E7" w:rsidRPr="00103579" w:rsidRDefault="007C47E7" w:rsidP="007C47E7">
      <w:pPr>
        <w:spacing w:after="0" w:line="240" w:lineRule="auto"/>
        <w:rPr>
          <w:rFonts w:cs="Arial"/>
          <w:szCs w:val="24"/>
        </w:rPr>
      </w:pPr>
    </w:p>
    <w:p w:rsidR="007C47E7" w:rsidRPr="00103579" w:rsidRDefault="007C47E7" w:rsidP="007C47E7">
      <w:pPr>
        <w:spacing w:after="0" w:line="240" w:lineRule="auto"/>
        <w:rPr>
          <w:rFonts w:cs="Arial"/>
          <w:szCs w:val="24"/>
        </w:rPr>
      </w:pPr>
      <w:r w:rsidRPr="00103579">
        <w:rPr>
          <w:rFonts w:cs="Arial"/>
          <w:szCs w:val="24"/>
        </w:rPr>
        <w:t>Finalmente, observamos que el gran pendiente sigue siendo la difusión hacia la sociedad respecto del sistema procesal penal acusatorio, si la sociedad no conoce ni entiende en qué le puede beneficiar la reforma, será muy difícil que ésta pueda arraigarse en la sociedad y que la gente entienda los beneficios y derechos que ésta le otorga.</w:t>
      </w:r>
    </w:p>
    <w:p w:rsidR="007C47E7" w:rsidRPr="00103579" w:rsidRDefault="007C47E7" w:rsidP="007C47E7">
      <w:pPr>
        <w:spacing w:after="0" w:line="240" w:lineRule="auto"/>
        <w:rPr>
          <w:rFonts w:cs="Arial"/>
          <w:szCs w:val="24"/>
        </w:rPr>
      </w:pPr>
    </w:p>
    <w:p w:rsidR="007C47E7" w:rsidRPr="00103579" w:rsidRDefault="007C47E7" w:rsidP="007C47E7">
      <w:pPr>
        <w:spacing w:after="0" w:line="240" w:lineRule="auto"/>
        <w:rPr>
          <w:rFonts w:cs="Arial"/>
          <w:szCs w:val="24"/>
        </w:rPr>
      </w:pPr>
      <w:r w:rsidRPr="00103579">
        <w:rPr>
          <w:rFonts w:cs="Arial"/>
          <w:szCs w:val="24"/>
        </w:rPr>
        <w:t>Asimismo, será muy importante que se impulse una cultura de la legalidad, que propicie que los gobernados entiendan la importancia del respeto a la ley ya que sin este elemento igualmente será muy difícil que ésta o cualquier otra reforma a nuestro sistema de justicia prosperen. Estos son solamente algunos aspectos que nos muestran lo que se ha avanzado, pero lo mucho que aún falta por avanzar en la implementación de este sistema.</w:t>
      </w:r>
    </w:p>
    <w:p w:rsidR="007C47E7" w:rsidRPr="00103579" w:rsidRDefault="007C47E7" w:rsidP="007C47E7">
      <w:pPr>
        <w:spacing w:after="0"/>
        <w:rPr>
          <w:rFonts w:cs="Arial"/>
          <w:szCs w:val="24"/>
        </w:rPr>
      </w:pPr>
    </w:p>
    <w:p w:rsidR="0019590F" w:rsidRDefault="0019590F" w:rsidP="007C47E7">
      <w:pPr>
        <w:spacing w:after="0"/>
        <w:rPr>
          <w:rFonts w:cs="Arial"/>
          <w:b/>
          <w:szCs w:val="24"/>
        </w:rPr>
      </w:pPr>
    </w:p>
    <w:p w:rsidR="0019590F" w:rsidRDefault="0019590F" w:rsidP="007C47E7">
      <w:pPr>
        <w:spacing w:after="0"/>
        <w:rPr>
          <w:rFonts w:cs="Arial"/>
          <w:b/>
          <w:szCs w:val="24"/>
        </w:rPr>
      </w:pPr>
    </w:p>
    <w:p w:rsidR="0019590F" w:rsidRDefault="0019590F" w:rsidP="007C47E7">
      <w:pPr>
        <w:spacing w:after="0"/>
        <w:rPr>
          <w:rFonts w:cs="Arial"/>
          <w:b/>
          <w:szCs w:val="24"/>
        </w:rPr>
      </w:pPr>
    </w:p>
    <w:p w:rsidR="0019590F" w:rsidRDefault="0019590F" w:rsidP="007C47E7">
      <w:pPr>
        <w:spacing w:after="0"/>
        <w:rPr>
          <w:rFonts w:cs="Arial"/>
          <w:b/>
          <w:szCs w:val="24"/>
        </w:rPr>
      </w:pPr>
    </w:p>
    <w:p w:rsidR="0019590F" w:rsidRDefault="0019590F" w:rsidP="007C47E7">
      <w:pPr>
        <w:spacing w:after="0"/>
        <w:rPr>
          <w:rFonts w:cs="Arial"/>
          <w:b/>
          <w:szCs w:val="24"/>
        </w:rPr>
      </w:pPr>
    </w:p>
    <w:p w:rsidR="0019590F" w:rsidRDefault="0019590F" w:rsidP="007C47E7">
      <w:pPr>
        <w:spacing w:after="0"/>
        <w:rPr>
          <w:rFonts w:cs="Arial"/>
          <w:b/>
          <w:szCs w:val="24"/>
        </w:rPr>
      </w:pPr>
    </w:p>
    <w:p w:rsidR="0019590F" w:rsidRDefault="0019590F" w:rsidP="007C47E7">
      <w:pPr>
        <w:spacing w:after="0"/>
        <w:rPr>
          <w:rFonts w:cs="Arial"/>
          <w:b/>
          <w:szCs w:val="24"/>
        </w:rPr>
      </w:pPr>
    </w:p>
    <w:p w:rsidR="0019590F" w:rsidRDefault="0019590F" w:rsidP="007C47E7">
      <w:pPr>
        <w:spacing w:after="0"/>
        <w:rPr>
          <w:rFonts w:cs="Arial"/>
          <w:b/>
          <w:szCs w:val="24"/>
        </w:rPr>
      </w:pPr>
    </w:p>
    <w:p w:rsidR="0019590F" w:rsidRDefault="0019590F" w:rsidP="007C47E7">
      <w:pPr>
        <w:spacing w:after="0"/>
        <w:rPr>
          <w:rFonts w:cs="Arial"/>
          <w:b/>
          <w:szCs w:val="24"/>
        </w:rPr>
      </w:pPr>
    </w:p>
    <w:p w:rsidR="0019590F" w:rsidRDefault="0019590F" w:rsidP="007C47E7">
      <w:pPr>
        <w:spacing w:after="0"/>
        <w:rPr>
          <w:rFonts w:cs="Arial"/>
          <w:b/>
          <w:szCs w:val="24"/>
        </w:rPr>
      </w:pPr>
    </w:p>
    <w:p w:rsidR="0019590F" w:rsidRDefault="0019590F" w:rsidP="007C47E7">
      <w:pPr>
        <w:spacing w:after="0"/>
        <w:rPr>
          <w:rFonts w:cs="Arial"/>
          <w:b/>
          <w:szCs w:val="24"/>
        </w:rPr>
      </w:pPr>
    </w:p>
    <w:p w:rsidR="0019590F" w:rsidRDefault="0019590F" w:rsidP="007C47E7">
      <w:pPr>
        <w:spacing w:after="0"/>
        <w:rPr>
          <w:rFonts w:cs="Arial"/>
          <w:b/>
          <w:szCs w:val="24"/>
        </w:rPr>
      </w:pPr>
    </w:p>
    <w:p w:rsidR="0019590F" w:rsidRDefault="0019590F" w:rsidP="007C47E7">
      <w:pPr>
        <w:spacing w:after="0"/>
        <w:rPr>
          <w:rFonts w:cs="Arial"/>
          <w:b/>
          <w:szCs w:val="24"/>
        </w:rPr>
      </w:pPr>
    </w:p>
    <w:p w:rsidR="0019590F" w:rsidRDefault="0019590F" w:rsidP="007C47E7">
      <w:pPr>
        <w:spacing w:after="0"/>
        <w:rPr>
          <w:rFonts w:cs="Arial"/>
          <w:b/>
          <w:szCs w:val="24"/>
        </w:rPr>
      </w:pPr>
    </w:p>
    <w:p w:rsidR="0019590F" w:rsidRDefault="0019590F" w:rsidP="007C47E7">
      <w:pPr>
        <w:spacing w:after="0"/>
        <w:rPr>
          <w:rFonts w:cs="Arial"/>
          <w:b/>
          <w:szCs w:val="24"/>
        </w:rPr>
      </w:pPr>
    </w:p>
    <w:p w:rsidR="0019590F" w:rsidRDefault="0019590F" w:rsidP="007C47E7">
      <w:pPr>
        <w:spacing w:after="0"/>
        <w:rPr>
          <w:rFonts w:cs="Arial"/>
          <w:b/>
          <w:szCs w:val="24"/>
        </w:rPr>
      </w:pPr>
    </w:p>
    <w:p w:rsidR="007C47E7" w:rsidRPr="00103579" w:rsidRDefault="007C47E7" w:rsidP="007C47E7">
      <w:pPr>
        <w:spacing w:after="0"/>
        <w:rPr>
          <w:rFonts w:cs="Arial"/>
          <w:b/>
          <w:szCs w:val="24"/>
        </w:rPr>
      </w:pPr>
      <w:r>
        <w:rPr>
          <w:rFonts w:cs="Arial"/>
          <w:b/>
          <w:szCs w:val="24"/>
        </w:rPr>
        <w:t>Fuentes de consulta</w:t>
      </w:r>
    </w:p>
    <w:p w:rsidR="007C47E7" w:rsidRPr="00103579" w:rsidRDefault="007C47E7" w:rsidP="007C47E7">
      <w:pPr>
        <w:spacing w:after="0"/>
        <w:rPr>
          <w:rFonts w:cs="Arial"/>
          <w:szCs w:val="24"/>
        </w:rPr>
      </w:pPr>
    </w:p>
    <w:p w:rsidR="007C47E7" w:rsidRPr="00103579" w:rsidRDefault="007C47E7" w:rsidP="007C47E7">
      <w:pPr>
        <w:spacing w:after="0"/>
        <w:rPr>
          <w:rFonts w:cs="Arial"/>
          <w:b/>
          <w:szCs w:val="24"/>
        </w:rPr>
      </w:pPr>
      <w:r w:rsidRPr="00103579">
        <w:rPr>
          <w:rFonts w:cs="Arial"/>
          <w:b/>
          <w:szCs w:val="24"/>
        </w:rPr>
        <w:t>Legislación</w:t>
      </w:r>
    </w:p>
    <w:p w:rsidR="007C47E7" w:rsidRPr="00103579" w:rsidRDefault="007C47E7" w:rsidP="007C47E7">
      <w:pPr>
        <w:pStyle w:val="Prrafodelista"/>
        <w:numPr>
          <w:ilvl w:val="0"/>
          <w:numId w:val="10"/>
        </w:numPr>
        <w:spacing w:after="0" w:line="259" w:lineRule="auto"/>
        <w:jc w:val="both"/>
        <w:rPr>
          <w:rFonts w:ascii="Garamond" w:hAnsi="Garamond" w:cs="Arial"/>
          <w:sz w:val="24"/>
          <w:szCs w:val="24"/>
        </w:rPr>
      </w:pPr>
      <w:r w:rsidRPr="00103579">
        <w:rPr>
          <w:rFonts w:ascii="Garamond" w:hAnsi="Garamond" w:cs="Arial"/>
          <w:sz w:val="24"/>
          <w:szCs w:val="24"/>
        </w:rPr>
        <w:t>Acuerdo A009/15 de la Procuraduría General de la República por el que se establecen las directrices que deberán observar los servidores públicos que intervengan en materia de cadena de custodia, Diario Oficial de la Federación, 30 de enero de 2015.</w:t>
      </w:r>
    </w:p>
    <w:p w:rsidR="007C47E7" w:rsidRPr="00103579" w:rsidRDefault="007C47E7" w:rsidP="007C47E7">
      <w:pPr>
        <w:pStyle w:val="Prrafodelista"/>
        <w:numPr>
          <w:ilvl w:val="0"/>
          <w:numId w:val="10"/>
        </w:numPr>
        <w:spacing w:after="0" w:line="259" w:lineRule="auto"/>
        <w:jc w:val="both"/>
        <w:rPr>
          <w:rFonts w:ascii="Garamond" w:hAnsi="Garamond" w:cs="Arial"/>
          <w:sz w:val="24"/>
          <w:szCs w:val="24"/>
        </w:rPr>
      </w:pPr>
      <w:r w:rsidRPr="00103579">
        <w:rPr>
          <w:rFonts w:ascii="Garamond" w:hAnsi="Garamond" w:cs="Arial"/>
          <w:sz w:val="24"/>
          <w:szCs w:val="24"/>
        </w:rPr>
        <w:t>Código Nacional de Procedimientos Penales, Diario Oficial de la Federación el 5 de febrero de 2014.</w:t>
      </w:r>
    </w:p>
    <w:p w:rsidR="007C47E7" w:rsidRPr="00103579" w:rsidRDefault="007C47E7" w:rsidP="007C47E7">
      <w:pPr>
        <w:pStyle w:val="Prrafodelista"/>
        <w:numPr>
          <w:ilvl w:val="0"/>
          <w:numId w:val="10"/>
        </w:numPr>
        <w:spacing w:after="0" w:line="259" w:lineRule="auto"/>
        <w:jc w:val="both"/>
        <w:rPr>
          <w:rFonts w:ascii="Garamond" w:hAnsi="Garamond" w:cs="Arial"/>
          <w:sz w:val="24"/>
          <w:szCs w:val="24"/>
        </w:rPr>
      </w:pPr>
      <w:r w:rsidRPr="00103579">
        <w:rPr>
          <w:rFonts w:ascii="Garamond" w:hAnsi="Garamond" w:cs="Arial"/>
          <w:sz w:val="24"/>
          <w:szCs w:val="24"/>
        </w:rPr>
        <w:t xml:space="preserve">Ley de Amparo, Diario Oficial de la Federación el 4 de abril de 2014. </w:t>
      </w:r>
    </w:p>
    <w:p w:rsidR="007C47E7" w:rsidRPr="00103579" w:rsidRDefault="007C47E7" w:rsidP="007C47E7">
      <w:pPr>
        <w:pStyle w:val="Prrafodelista"/>
        <w:numPr>
          <w:ilvl w:val="0"/>
          <w:numId w:val="10"/>
        </w:numPr>
        <w:spacing w:after="0" w:line="259" w:lineRule="auto"/>
        <w:jc w:val="both"/>
        <w:rPr>
          <w:rFonts w:ascii="Garamond" w:hAnsi="Garamond" w:cs="Arial"/>
          <w:sz w:val="24"/>
          <w:szCs w:val="24"/>
        </w:rPr>
      </w:pPr>
      <w:r w:rsidRPr="00103579">
        <w:rPr>
          <w:rFonts w:ascii="Garamond" w:hAnsi="Garamond" w:cs="Arial"/>
          <w:sz w:val="24"/>
          <w:szCs w:val="24"/>
        </w:rPr>
        <w:t>Ley Federal de Justicia para adolescentes, Diario Oficial de la Federación el 24 de diciembre de 2014.</w:t>
      </w:r>
    </w:p>
    <w:p w:rsidR="007C47E7" w:rsidRPr="00103579" w:rsidRDefault="007C47E7" w:rsidP="007C47E7">
      <w:pPr>
        <w:pStyle w:val="Prrafodelista"/>
        <w:numPr>
          <w:ilvl w:val="0"/>
          <w:numId w:val="10"/>
        </w:numPr>
        <w:spacing w:after="0" w:line="259" w:lineRule="auto"/>
        <w:jc w:val="both"/>
        <w:rPr>
          <w:rFonts w:ascii="Garamond" w:hAnsi="Garamond" w:cs="Arial"/>
          <w:sz w:val="24"/>
          <w:szCs w:val="24"/>
        </w:rPr>
      </w:pPr>
      <w:r w:rsidRPr="00103579">
        <w:rPr>
          <w:rFonts w:ascii="Garamond" w:hAnsi="Garamond" w:cs="Arial"/>
          <w:sz w:val="24"/>
          <w:szCs w:val="24"/>
        </w:rPr>
        <w:t>Ley Nacional de Mecanismos Alternos de Solución de Controversias en materia penal, Diario Oficial de la Federación el 29 de diciembre de 2014.</w:t>
      </w:r>
    </w:p>
    <w:p w:rsidR="007C47E7" w:rsidRPr="00103579" w:rsidRDefault="007C47E7" w:rsidP="007C47E7">
      <w:pPr>
        <w:pStyle w:val="Prrafodelista"/>
        <w:numPr>
          <w:ilvl w:val="0"/>
          <w:numId w:val="10"/>
        </w:numPr>
        <w:spacing w:after="0" w:line="259" w:lineRule="auto"/>
        <w:jc w:val="both"/>
        <w:rPr>
          <w:rFonts w:ascii="Garamond" w:hAnsi="Garamond" w:cs="Arial"/>
          <w:sz w:val="24"/>
          <w:szCs w:val="24"/>
        </w:rPr>
      </w:pPr>
      <w:r w:rsidRPr="00103579">
        <w:rPr>
          <w:rFonts w:ascii="Garamond" w:hAnsi="Garamond" w:cs="Arial"/>
          <w:sz w:val="24"/>
          <w:szCs w:val="24"/>
        </w:rPr>
        <w:t>Reforma Constitucional en materia de Derechos Humanos, Diario Oficial de la Federación el 10 de junio de 2011.</w:t>
      </w:r>
    </w:p>
    <w:p w:rsidR="007C47E7" w:rsidRDefault="007C47E7" w:rsidP="007C47E7">
      <w:pPr>
        <w:spacing w:after="0"/>
        <w:rPr>
          <w:rFonts w:cs="Arial"/>
          <w:szCs w:val="24"/>
        </w:rPr>
      </w:pPr>
    </w:p>
    <w:p w:rsidR="00F26D78" w:rsidRPr="00103579" w:rsidRDefault="00F26D78" w:rsidP="007C47E7">
      <w:pPr>
        <w:spacing w:after="0"/>
        <w:rPr>
          <w:rFonts w:cs="Arial"/>
          <w:szCs w:val="24"/>
        </w:rPr>
      </w:pPr>
    </w:p>
    <w:p w:rsidR="007C47E7" w:rsidRPr="00103579" w:rsidRDefault="007C47E7" w:rsidP="007C47E7">
      <w:pPr>
        <w:spacing w:after="0"/>
        <w:rPr>
          <w:rFonts w:cs="Arial"/>
          <w:b/>
          <w:szCs w:val="24"/>
        </w:rPr>
      </w:pPr>
      <w:r w:rsidRPr="00103579">
        <w:rPr>
          <w:rFonts w:cs="Arial"/>
          <w:b/>
          <w:szCs w:val="24"/>
        </w:rPr>
        <w:t>Sitios de internet</w:t>
      </w:r>
    </w:p>
    <w:p w:rsidR="007C47E7" w:rsidRPr="00103579" w:rsidRDefault="007C47E7" w:rsidP="007C47E7">
      <w:pPr>
        <w:spacing w:after="0"/>
        <w:rPr>
          <w:rFonts w:cs="Arial"/>
          <w:szCs w:val="24"/>
        </w:rPr>
      </w:pPr>
    </w:p>
    <w:p w:rsidR="007C47E7" w:rsidRPr="00103579" w:rsidRDefault="007C47E7" w:rsidP="007C47E7">
      <w:pPr>
        <w:pStyle w:val="Prrafodelista"/>
        <w:numPr>
          <w:ilvl w:val="0"/>
          <w:numId w:val="11"/>
        </w:numPr>
        <w:spacing w:after="0" w:line="259" w:lineRule="auto"/>
        <w:jc w:val="both"/>
        <w:rPr>
          <w:rFonts w:ascii="Garamond" w:hAnsi="Garamond" w:cs="Arial"/>
          <w:sz w:val="24"/>
          <w:szCs w:val="24"/>
        </w:rPr>
      </w:pPr>
      <w:r w:rsidRPr="00103579">
        <w:rPr>
          <w:rFonts w:ascii="Garamond" w:hAnsi="Garamond" w:cs="Arial"/>
          <w:sz w:val="24"/>
          <w:szCs w:val="24"/>
        </w:rPr>
        <w:t>Boletín Jurídico. La armonización legislativa necesaria para la implementación del sistema acusatorio en México, USAID, agosto- septiembre 2014.</w:t>
      </w:r>
    </w:p>
    <w:p w:rsidR="007C47E7" w:rsidRPr="00103579" w:rsidRDefault="007C47E7" w:rsidP="007C47E7">
      <w:pPr>
        <w:pStyle w:val="Prrafodelista"/>
        <w:numPr>
          <w:ilvl w:val="0"/>
          <w:numId w:val="11"/>
        </w:numPr>
        <w:spacing w:after="0" w:line="259" w:lineRule="auto"/>
        <w:jc w:val="both"/>
        <w:rPr>
          <w:rFonts w:ascii="Garamond" w:hAnsi="Garamond" w:cs="Arial"/>
          <w:sz w:val="24"/>
          <w:szCs w:val="24"/>
        </w:rPr>
      </w:pPr>
      <w:r w:rsidRPr="00103579">
        <w:rPr>
          <w:rFonts w:ascii="Garamond" w:hAnsi="Garamond" w:cs="Arial"/>
          <w:sz w:val="24"/>
          <w:szCs w:val="24"/>
        </w:rPr>
        <w:t>“Sexto Foro Nacional sobre Seguridad y Justicia: Cómo sí implementar la reforma penal”, celebrado en la Ciudad de México los días 14 y 15 de mayo de 2014.</w:t>
      </w:r>
    </w:p>
    <w:p w:rsidR="007C47E7" w:rsidRPr="00103579" w:rsidRDefault="007C47E7" w:rsidP="007C47E7">
      <w:pPr>
        <w:pStyle w:val="Prrafodelista"/>
        <w:numPr>
          <w:ilvl w:val="0"/>
          <w:numId w:val="11"/>
        </w:numPr>
        <w:spacing w:after="0" w:line="259" w:lineRule="auto"/>
        <w:jc w:val="both"/>
        <w:rPr>
          <w:rFonts w:ascii="Garamond" w:hAnsi="Garamond" w:cs="Arial"/>
          <w:sz w:val="24"/>
          <w:szCs w:val="24"/>
        </w:rPr>
      </w:pPr>
      <w:r w:rsidRPr="00103579">
        <w:rPr>
          <w:rFonts w:ascii="Garamond" w:hAnsi="Garamond" w:cs="Arial"/>
          <w:sz w:val="24"/>
          <w:szCs w:val="24"/>
        </w:rPr>
        <w:t>CIDAC PRESENTA HALLAZGOS SOBRE LOS AVANCES DEL PROCESO DE IMPLEMENTACIÓN DEL NUEVO SISTEMA DE JUSTICIA PENAL EN MÉXICO, Boletín de Prensa, 28 de noviembre de 2013.</w:t>
      </w:r>
    </w:p>
    <w:p w:rsidR="007C47E7" w:rsidRPr="00103579" w:rsidRDefault="007C47E7" w:rsidP="007C47E7">
      <w:pPr>
        <w:pStyle w:val="Prrafodelista"/>
        <w:numPr>
          <w:ilvl w:val="0"/>
          <w:numId w:val="11"/>
        </w:numPr>
        <w:spacing w:after="0" w:line="259" w:lineRule="auto"/>
        <w:jc w:val="both"/>
        <w:rPr>
          <w:rFonts w:ascii="Garamond" w:hAnsi="Garamond" w:cs="Arial"/>
          <w:sz w:val="24"/>
          <w:szCs w:val="24"/>
        </w:rPr>
      </w:pPr>
      <w:r w:rsidRPr="00103579">
        <w:rPr>
          <w:rFonts w:ascii="Garamond" w:hAnsi="Garamond" w:cs="Arial"/>
          <w:sz w:val="24"/>
          <w:szCs w:val="24"/>
        </w:rPr>
        <w:t>Concluye reunión nacional sobre nuevo sistema de Justicia Penal, Dirección electrónica: http://www.imagenzac.com.mx/nota/concluye-reunion-nacional-sobre-nuevo-si-22-12-53</w:t>
      </w:r>
      <w:r>
        <w:rPr>
          <w:rFonts w:ascii="Garamond" w:hAnsi="Garamond" w:cs="Arial"/>
          <w:sz w:val="24"/>
          <w:szCs w:val="24"/>
        </w:rPr>
        <w:t>, consulta: 26/04/16.</w:t>
      </w:r>
    </w:p>
    <w:p w:rsidR="007C47E7" w:rsidRPr="00103579" w:rsidRDefault="007C47E7" w:rsidP="007C47E7">
      <w:pPr>
        <w:pStyle w:val="Prrafodelista"/>
        <w:numPr>
          <w:ilvl w:val="0"/>
          <w:numId w:val="11"/>
        </w:numPr>
        <w:spacing w:after="0" w:line="259" w:lineRule="auto"/>
        <w:jc w:val="both"/>
        <w:rPr>
          <w:rFonts w:ascii="Garamond" w:hAnsi="Garamond" w:cs="Arial"/>
          <w:sz w:val="24"/>
          <w:szCs w:val="24"/>
        </w:rPr>
      </w:pPr>
      <w:r w:rsidRPr="00103579">
        <w:rPr>
          <w:rFonts w:ascii="Garamond" w:hAnsi="Garamond" w:cs="Arial"/>
          <w:sz w:val="24"/>
          <w:szCs w:val="24"/>
        </w:rPr>
        <w:t>Informe General. Seguimiento del Proceso de implementación de la Reforma Penal en México, Estados de Chihuahua, Estado de México, Morelos, Oaxaca y Zacatecas, 2007-2011, SEGOB, CEJA, USAID, México, 2012.</w:t>
      </w:r>
    </w:p>
    <w:p w:rsidR="007C47E7" w:rsidRPr="00103579" w:rsidRDefault="007C47E7" w:rsidP="007C47E7">
      <w:pPr>
        <w:pStyle w:val="Prrafodelista"/>
        <w:numPr>
          <w:ilvl w:val="0"/>
          <w:numId w:val="11"/>
        </w:numPr>
        <w:spacing w:after="0" w:line="259" w:lineRule="auto"/>
        <w:jc w:val="both"/>
        <w:rPr>
          <w:rFonts w:ascii="Garamond" w:hAnsi="Garamond" w:cs="Arial"/>
          <w:sz w:val="24"/>
          <w:szCs w:val="24"/>
        </w:rPr>
      </w:pPr>
      <w:r w:rsidRPr="00103579">
        <w:rPr>
          <w:rFonts w:ascii="Garamond" w:hAnsi="Garamond" w:cs="Arial"/>
          <w:sz w:val="24"/>
          <w:szCs w:val="24"/>
        </w:rPr>
        <w:t xml:space="preserve">Nuevo sistema penal acusatorio cubre al 61% de los mexicanos: </w:t>
      </w:r>
      <w:proofErr w:type="spellStart"/>
      <w:r w:rsidRPr="00103579">
        <w:rPr>
          <w:rFonts w:ascii="Garamond" w:hAnsi="Garamond" w:cs="Arial"/>
          <w:sz w:val="24"/>
          <w:szCs w:val="24"/>
        </w:rPr>
        <w:t>Segob</w:t>
      </w:r>
      <w:proofErr w:type="spellEnd"/>
      <w:r w:rsidRPr="00103579">
        <w:rPr>
          <w:rFonts w:ascii="Garamond" w:hAnsi="Garamond" w:cs="Arial"/>
          <w:sz w:val="24"/>
          <w:szCs w:val="24"/>
        </w:rPr>
        <w:t xml:space="preserve">, Susana Guzmán, 20.08.2015 Última actualización 20.08.2015, Dirección electrónica: http://www.elfinanciero.com.mx/nacional/nuevo-sistema-penal-acusatorio-cubre-al-61-de-los-mexicanos-segob.html. Redacción 27 </w:t>
      </w:r>
      <w:proofErr w:type="spellStart"/>
      <w:r w:rsidRPr="00103579">
        <w:rPr>
          <w:rFonts w:ascii="Garamond" w:hAnsi="Garamond" w:cs="Arial"/>
          <w:sz w:val="24"/>
          <w:szCs w:val="24"/>
        </w:rPr>
        <w:t>aug</w:t>
      </w:r>
      <w:proofErr w:type="spellEnd"/>
      <w:r w:rsidRPr="00103579">
        <w:rPr>
          <w:rFonts w:ascii="Garamond" w:hAnsi="Garamond" w:cs="Arial"/>
          <w:sz w:val="24"/>
          <w:szCs w:val="24"/>
        </w:rPr>
        <w:t xml:space="preserve"> 2015 22:12:15.</w:t>
      </w:r>
    </w:p>
    <w:p w:rsidR="007C47E7" w:rsidRDefault="007C47E7" w:rsidP="007C47E7">
      <w:pPr>
        <w:pStyle w:val="Prrafodelista"/>
        <w:numPr>
          <w:ilvl w:val="0"/>
          <w:numId w:val="11"/>
        </w:numPr>
        <w:spacing w:after="0" w:line="259" w:lineRule="auto"/>
        <w:jc w:val="both"/>
        <w:rPr>
          <w:rFonts w:ascii="Garamond" w:hAnsi="Garamond" w:cs="Arial"/>
          <w:sz w:val="24"/>
          <w:szCs w:val="24"/>
        </w:rPr>
      </w:pPr>
      <w:r w:rsidRPr="00103579">
        <w:rPr>
          <w:rFonts w:ascii="Garamond" w:hAnsi="Garamond" w:cs="Arial"/>
          <w:sz w:val="24"/>
          <w:szCs w:val="24"/>
        </w:rPr>
        <w:t>Véase la nota: Nuevo sistema de Justicia Penal, Dirección electrónica: http</w:t>
      </w:r>
      <w:proofErr w:type="gramStart"/>
      <w:r w:rsidRPr="00103579">
        <w:rPr>
          <w:rFonts w:ascii="Garamond" w:hAnsi="Garamond" w:cs="Arial"/>
          <w:sz w:val="24"/>
          <w:szCs w:val="24"/>
        </w:rPr>
        <w:t>:/</w:t>
      </w:r>
      <w:proofErr w:type="gramEnd"/>
      <w:r w:rsidRPr="00103579">
        <w:rPr>
          <w:rFonts w:ascii="Garamond" w:hAnsi="Garamond" w:cs="Arial"/>
          <w:sz w:val="24"/>
          <w:szCs w:val="24"/>
        </w:rPr>
        <w:t>/www.oem.com.mx/el</w:t>
      </w:r>
      <w:r>
        <w:rPr>
          <w:rFonts w:ascii="Garamond" w:hAnsi="Garamond" w:cs="Arial"/>
          <w:sz w:val="24"/>
          <w:szCs w:val="24"/>
        </w:rPr>
        <w:t>soldecordoba/notas/n3286061.htm, consulta: 26/04/16.</w:t>
      </w:r>
    </w:p>
    <w:p w:rsidR="00C4445F" w:rsidRPr="00103579" w:rsidRDefault="00C4445F" w:rsidP="00C4445F">
      <w:pPr>
        <w:pStyle w:val="Prrafodelista"/>
        <w:spacing w:after="0" w:line="259" w:lineRule="auto"/>
        <w:jc w:val="right"/>
        <w:rPr>
          <w:rFonts w:ascii="Garamond" w:hAnsi="Garamond" w:cs="Arial"/>
          <w:sz w:val="24"/>
          <w:szCs w:val="24"/>
        </w:rPr>
      </w:pPr>
      <w:r>
        <w:rPr>
          <w:rFonts w:ascii="Garamond" w:hAnsi="Garamond" w:cs="Arial"/>
          <w:sz w:val="24"/>
          <w:szCs w:val="24"/>
        </w:rPr>
        <w:t>50</w:t>
      </w:r>
      <w:bookmarkStart w:id="0" w:name="_GoBack"/>
      <w:bookmarkEnd w:id="0"/>
    </w:p>
    <w:p w:rsidR="007C47E7" w:rsidRPr="00103579" w:rsidRDefault="007C47E7" w:rsidP="007C47E7">
      <w:pPr>
        <w:pStyle w:val="Prrafodelista"/>
        <w:numPr>
          <w:ilvl w:val="0"/>
          <w:numId w:val="11"/>
        </w:numPr>
        <w:spacing w:after="0" w:line="259" w:lineRule="auto"/>
        <w:jc w:val="both"/>
        <w:rPr>
          <w:rFonts w:ascii="Garamond" w:hAnsi="Garamond" w:cs="Arial"/>
          <w:sz w:val="24"/>
          <w:szCs w:val="24"/>
        </w:rPr>
      </w:pPr>
      <w:r w:rsidRPr="00103579">
        <w:rPr>
          <w:rFonts w:ascii="Garamond" w:hAnsi="Garamond" w:cs="Arial"/>
          <w:sz w:val="24"/>
          <w:szCs w:val="24"/>
        </w:rPr>
        <w:lastRenderedPageBreak/>
        <w:t>“Juicios orales: a un año de fecha límite implementación no alcanza el 60%. Cuatro de cada 10 mexicanos sigue bajo jurisdicción del viejo sistema. Solo seis estados aplican totalmente los juicios orales. Faltan además leyes y recursos”. MAYO 12, 2015. Arturo Ángel (@arturoangel20). Animal Político. Dirección electrónica: http</w:t>
      </w:r>
      <w:proofErr w:type="gramStart"/>
      <w:r w:rsidRPr="00103579">
        <w:rPr>
          <w:rFonts w:ascii="Garamond" w:hAnsi="Garamond" w:cs="Arial"/>
          <w:sz w:val="24"/>
          <w:szCs w:val="24"/>
        </w:rPr>
        <w:t>:/</w:t>
      </w:r>
      <w:proofErr w:type="gramEnd"/>
      <w:r w:rsidRPr="00103579">
        <w:rPr>
          <w:rFonts w:ascii="Garamond" w:hAnsi="Garamond" w:cs="Arial"/>
          <w:sz w:val="24"/>
          <w:szCs w:val="24"/>
        </w:rPr>
        <w:t>/www.animalpolitico.com/2015/05/juicios-orales-a-un-ano-de-fecha-limite-implementacion-no-alcanza-el-60/</w:t>
      </w:r>
      <w:r>
        <w:rPr>
          <w:rFonts w:ascii="Garamond" w:hAnsi="Garamond" w:cs="Arial"/>
          <w:sz w:val="24"/>
          <w:szCs w:val="24"/>
        </w:rPr>
        <w:t>, consulta: 26/04/16.</w:t>
      </w:r>
    </w:p>
    <w:p w:rsidR="007C47E7" w:rsidRDefault="007C47E7" w:rsidP="007C47E7">
      <w:pPr>
        <w:spacing w:after="0"/>
        <w:rPr>
          <w:rFonts w:cs="Arial"/>
          <w:szCs w:val="24"/>
        </w:rPr>
      </w:pPr>
    </w:p>
    <w:p w:rsidR="007C47E7" w:rsidRPr="00103579" w:rsidRDefault="007C47E7" w:rsidP="007C47E7">
      <w:pPr>
        <w:spacing w:after="0"/>
        <w:rPr>
          <w:rFonts w:cs="Arial"/>
          <w:szCs w:val="24"/>
        </w:rPr>
      </w:pPr>
      <w:r w:rsidRPr="005862E2">
        <w:rPr>
          <w:rFonts w:cs="Arial"/>
          <w:b/>
          <w:szCs w:val="24"/>
        </w:rPr>
        <w:t>Nota del editor</w:t>
      </w:r>
      <w:r>
        <w:rPr>
          <w:rFonts w:cs="Arial"/>
          <w:szCs w:val="24"/>
        </w:rPr>
        <w:t>: Los sitios de internet se corroboraron el 26 de abril, con fines de actualización. La información se mantiene.</w:t>
      </w:r>
    </w:p>
    <w:p w:rsidR="0014593A" w:rsidRDefault="0014593A" w:rsidP="00C350C1">
      <w:pPr>
        <w:spacing w:after="120" w:line="240" w:lineRule="auto"/>
        <w:jc w:val="center"/>
        <w:rPr>
          <w:b/>
          <w:sz w:val="28"/>
          <w:szCs w:val="28"/>
        </w:rPr>
      </w:pPr>
    </w:p>
    <w:p w:rsidR="007C47E7" w:rsidRDefault="007C47E7" w:rsidP="00C350C1">
      <w:pPr>
        <w:spacing w:after="120" w:line="240" w:lineRule="auto"/>
        <w:jc w:val="center"/>
        <w:rPr>
          <w:b/>
          <w:sz w:val="28"/>
          <w:szCs w:val="28"/>
        </w:rPr>
      </w:pPr>
    </w:p>
    <w:p w:rsidR="008D249D" w:rsidRDefault="008D249D" w:rsidP="00C350C1">
      <w:pPr>
        <w:spacing w:after="120" w:line="240" w:lineRule="auto"/>
        <w:jc w:val="center"/>
        <w:rPr>
          <w:b/>
          <w:sz w:val="28"/>
          <w:szCs w:val="28"/>
        </w:rPr>
      </w:pPr>
    </w:p>
    <w:p w:rsidR="008D249D" w:rsidRDefault="008D249D" w:rsidP="00C350C1">
      <w:pPr>
        <w:spacing w:after="120" w:line="240" w:lineRule="auto"/>
        <w:jc w:val="center"/>
        <w:rPr>
          <w:b/>
          <w:sz w:val="28"/>
          <w:szCs w:val="28"/>
        </w:rPr>
      </w:pPr>
    </w:p>
    <w:p w:rsidR="008D249D" w:rsidRDefault="008D249D" w:rsidP="00C350C1">
      <w:pPr>
        <w:spacing w:after="120" w:line="240" w:lineRule="auto"/>
        <w:jc w:val="center"/>
        <w:rPr>
          <w:b/>
          <w:sz w:val="28"/>
          <w:szCs w:val="28"/>
        </w:rPr>
      </w:pPr>
    </w:p>
    <w:p w:rsidR="008D249D" w:rsidRDefault="008D249D" w:rsidP="00C350C1">
      <w:pPr>
        <w:spacing w:after="120" w:line="240" w:lineRule="auto"/>
        <w:jc w:val="center"/>
        <w:rPr>
          <w:b/>
          <w:sz w:val="28"/>
          <w:szCs w:val="28"/>
        </w:rPr>
      </w:pPr>
    </w:p>
    <w:p w:rsidR="008D249D" w:rsidRDefault="008D249D" w:rsidP="00C350C1">
      <w:pPr>
        <w:spacing w:after="120" w:line="240" w:lineRule="auto"/>
        <w:jc w:val="center"/>
        <w:rPr>
          <w:b/>
          <w:sz w:val="28"/>
          <w:szCs w:val="28"/>
        </w:rPr>
      </w:pPr>
    </w:p>
    <w:p w:rsidR="008D249D" w:rsidRDefault="008D249D" w:rsidP="00C350C1">
      <w:pPr>
        <w:spacing w:after="120" w:line="240" w:lineRule="auto"/>
        <w:jc w:val="center"/>
        <w:rPr>
          <w:b/>
          <w:sz w:val="28"/>
          <w:szCs w:val="28"/>
        </w:rPr>
      </w:pPr>
    </w:p>
    <w:p w:rsidR="0053651F" w:rsidRPr="00FF2CBE" w:rsidRDefault="0053651F" w:rsidP="00F73E43">
      <w:pPr>
        <w:spacing w:after="0" w:line="360" w:lineRule="auto"/>
        <w:ind w:left="709" w:hanging="709"/>
        <w:rPr>
          <w:szCs w:val="24"/>
          <w:lang w:val="en-US"/>
        </w:rPr>
      </w:pPr>
      <w:r w:rsidRPr="00FF2CBE">
        <w:rPr>
          <w:color w:val="000000"/>
          <w:szCs w:val="24"/>
          <w:lang w:val="en-US"/>
        </w:rPr>
        <w:t>.</w:t>
      </w:r>
    </w:p>
    <w:p w:rsidR="0053651F" w:rsidRPr="00FF2CBE" w:rsidRDefault="0053651F" w:rsidP="007F53DF">
      <w:pPr>
        <w:rPr>
          <w:szCs w:val="24"/>
        </w:rPr>
      </w:pPr>
    </w:p>
    <w:sectPr w:rsidR="0053651F" w:rsidRPr="00FF2CBE" w:rsidSect="00614275">
      <w:headerReference w:type="default" r:id="rId13"/>
      <w:footerReference w:type="default" r:id="rId14"/>
      <w:pgSz w:w="12240" w:h="15840" w:code="1"/>
      <w:pgMar w:top="1985" w:right="1134" w:bottom="1134" w:left="1134" w:header="709" w:footer="709" w:gutter="0"/>
      <w:pgNumType w:start="3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66C" w:rsidRDefault="0013666C" w:rsidP="009E3816">
      <w:pPr>
        <w:spacing w:after="0" w:line="240" w:lineRule="auto"/>
      </w:pPr>
      <w:r>
        <w:separator/>
      </w:r>
    </w:p>
  </w:endnote>
  <w:endnote w:type="continuationSeparator" w:id="0">
    <w:p w:rsidR="0013666C" w:rsidRDefault="0013666C" w:rsidP="009E3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Garamond (TT) 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ED3" w:rsidRDefault="00B94ED3">
    <w:pPr>
      <w:pStyle w:val="Piedepgina"/>
      <w:jc w:val="right"/>
    </w:pPr>
  </w:p>
  <w:p w:rsidR="00B94ED3" w:rsidRDefault="00B94E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66C" w:rsidRDefault="0013666C" w:rsidP="009E3816">
      <w:pPr>
        <w:spacing w:after="0" w:line="240" w:lineRule="auto"/>
      </w:pPr>
      <w:r>
        <w:separator/>
      </w:r>
    </w:p>
  </w:footnote>
  <w:footnote w:type="continuationSeparator" w:id="0">
    <w:p w:rsidR="0013666C" w:rsidRDefault="0013666C" w:rsidP="009E3816">
      <w:pPr>
        <w:spacing w:after="0" w:line="240" w:lineRule="auto"/>
      </w:pPr>
      <w:r>
        <w:continuationSeparator/>
      </w:r>
    </w:p>
  </w:footnote>
  <w:footnote w:id="1">
    <w:p w:rsidR="007C47E7" w:rsidRPr="00B11A3F" w:rsidRDefault="007C47E7" w:rsidP="007C47E7">
      <w:pPr>
        <w:pStyle w:val="Textonotapie"/>
        <w:jc w:val="both"/>
        <w:rPr>
          <w:rFonts w:ascii="Garamond" w:hAnsi="Garamond" w:cs="Arial"/>
          <w:sz w:val="22"/>
          <w:szCs w:val="22"/>
        </w:rPr>
      </w:pPr>
      <w:r w:rsidRPr="00B11A3F">
        <w:rPr>
          <w:rStyle w:val="Refdenotaalpie"/>
          <w:rFonts w:ascii="Garamond" w:hAnsi="Garamond" w:cs="Arial"/>
          <w:sz w:val="22"/>
          <w:szCs w:val="22"/>
        </w:rPr>
        <w:footnoteRef/>
      </w:r>
      <w:r w:rsidRPr="00B11A3F">
        <w:rPr>
          <w:rFonts w:ascii="Garamond" w:hAnsi="Garamond" w:cs="Arial"/>
          <w:sz w:val="22"/>
          <w:szCs w:val="22"/>
        </w:rPr>
        <w:t xml:space="preserve">Doctor y Maestro en Derecho por la UNAM, Maestro en Ciencias Penales con especialización en Ciencia Jurídico Penal por el INACIPE, miembro del Sistema Nacional de Investigadores (SNI) del Consejo Nacional de Ciencia y Tecnología (CONACYT), nivel I, </w:t>
      </w:r>
      <w:r w:rsidRPr="00B11A3F">
        <w:rPr>
          <w:rFonts w:ascii="Garamond" w:eastAsia="Calibri" w:hAnsi="Garamond" w:cs="Arial"/>
          <w:sz w:val="22"/>
          <w:szCs w:val="22"/>
        </w:rPr>
        <w:t xml:space="preserve">Capacitador certificado en razón de sus méritos por la Secretaría Técnica del Consejo de Coordinación para la Implementación del Sistema de Justicia Penal (SETEC), </w:t>
      </w:r>
      <w:r w:rsidRPr="00B11A3F">
        <w:rPr>
          <w:rFonts w:ascii="Garamond" w:hAnsi="Garamond" w:cs="Arial"/>
          <w:sz w:val="22"/>
          <w:szCs w:val="22"/>
        </w:rPr>
        <w:t>Profesor Investigador invitado del Instituto Nacional de Ciencias Penales (INACIPE)</w:t>
      </w:r>
      <w:r w:rsidRPr="00B11A3F">
        <w:rPr>
          <w:rFonts w:ascii="Garamond" w:eastAsia="Calibri" w:hAnsi="Garamond" w:cs="Arial"/>
          <w:sz w:val="22"/>
          <w:szCs w:val="22"/>
        </w:rPr>
        <w:t>.</w:t>
      </w:r>
    </w:p>
  </w:footnote>
  <w:footnote w:id="2">
    <w:p w:rsidR="007C47E7" w:rsidRPr="00B11A3F" w:rsidRDefault="007C47E7" w:rsidP="007C47E7">
      <w:pPr>
        <w:pStyle w:val="Textonotapie"/>
        <w:rPr>
          <w:rFonts w:ascii="Garamond" w:hAnsi="Garamond"/>
          <w:sz w:val="22"/>
          <w:szCs w:val="22"/>
        </w:rPr>
      </w:pPr>
      <w:r w:rsidRPr="00B11A3F">
        <w:rPr>
          <w:rStyle w:val="Refdenotaalpie"/>
          <w:rFonts w:ascii="Garamond" w:hAnsi="Garamond"/>
          <w:sz w:val="22"/>
          <w:szCs w:val="22"/>
        </w:rPr>
        <w:footnoteRef/>
      </w:r>
      <w:r w:rsidRPr="00B11A3F">
        <w:rPr>
          <w:rFonts w:ascii="Garamond" w:hAnsi="Garamond"/>
          <w:sz w:val="22"/>
          <w:szCs w:val="22"/>
        </w:rPr>
        <w:t xml:space="preserve">  El artículo fue recibido en octubre del 2015, por lo que se mantiene el discurso del autor para atender al momento de su elaboración y al contexto correspondiente.</w:t>
      </w:r>
    </w:p>
  </w:footnote>
  <w:footnote w:id="3">
    <w:p w:rsidR="007C47E7" w:rsidRPr="00B11A3F" w:rsidRDefault="007C47E7" w:rsidP="007C47E7">
      <w:pPr>
        <w:pStyle w:val="Textonotapie"/>
        <w:jc w:val="both"/>
        <w:rPr>
          <w:rFonts w:ascii="Garamond" w:hAnsi="Garamond" w:cs="Arial"/>
          <w:sz w:val="22"/>
          <w:szCs w:val="22"/>
        </w:rPr>
      </w:pPr>
      <w:r w:rsidRPr="00B11A3F">
        <w:rPr>
          <w:rStyle w:val="Refdenotaalpie"/>
          <w:rFonts w:ascii="Garamond" w:hAnsi="Garamond" w:cs="Arial"/>
          <w:sz w:val="22"/>
          <w:szCs w:val="22"/>
        </w:rPr>
        <w:footnoteRef/>
      </w:r>
      <w:r w:rsidRPr="00B11A3F">
        <w:rPr>
          <w:rFonts w:ascii="Garamond" w:hAnsi="Garamond" w:cs="Arial"/>
          <w:sz w:val="22"/>
          <w:szCs w:val="22"/>
        </w:rPr>
        <w:t xml:space="preserve">Nuevo sistema penal acusatorio cubre al 61% de los mexicanos: </w:t>
      </w:r>
      <w:proofErr w:type="spellStart"/>
      <w:r w:rsidRPr="00B11A3F">
        <w:rPr>
          <w:rFonts w:ascii="Garamond" w:hAnsi="Garamond" w:cs="Arial"/>
          <w:sz w:val="22"/>
          <w:szCs w:val="22"/>
        </w:rPr>
        <w:t>Segob</w:t>
      </w:r>
      <w:proofErr w:type="spellEnd"/>
      <w:r w:rsidRPr="00B11A3F">
        <w:rPr>
          <w:rFonts w:ascii="Garamond" w:hAnsi="Garamond" w:cs="Arial"/>
          <w:sz w:val="22"/>
          <w:szCs w:val="22"/>
        </w:rPr>
        <w:t>, Susana Guzmán, 20.08.2015 Última actualización 20.08.2015, Dirección electrónica: http</w:t>
      </w:r>
      <w:proofErr w:type="gramStart"/>
      <w:r w:rsidRPr="00B11A3F">
        <w:rPr>
          <w:rFonts w:ascii="Garamond" w:hAnsi="Garamond" w:cs="Arial"/>
          <w:sz w:val="22"/>
          <w:szCs w:val="22"/>
        </w:rPr>
        <w:t>:/</w:t>
      </w:r>
      <w:proofErr w:type="gramEnd"/>
      <w:r w:rsidRPr="00B11A3F">
        <w:rPr>
          <w:rFonts w:ascii="Garamond" w:hAnsi="Garamond" w:cs="Arial"/>
          <w:sz w:val="22"/>
          <w:szCs w:val="22"/>
        </w:rPr>
        <w:t>/www.elfinanciero.com.mx/nacional/nuevo-sistema-penal-acusatorio-cubre-al-61-de-los-mexicanos-segob.html</w:t>
      </w:r>
      <w:r w:rsidR="00AE5CC8">
        <w:rPr>
          <w:rFonts w:ascii="Garamond" w:hAnsi="Garamond" w:cs="Arial"/>
          <w:sz w:val="22"/>
          <w:szCs w:val="22"/>
        </w:rPr>
        <w:t>, consulta: 26/04/16.</w:t>
      </w:r>
    </w:p>
  </w:footnote>
  <w:footnote w:id="4">
    <w:p w:rsidR="007C47E7" w:rsidRDefault="007C47E7" w:rsidP="007C47E7">
      <w:pPr>
        <w:pStyle w:val="Textonotapie"/>
        <w:rPr>
          <w:rFonts w:ascii="Garamond" w:hAnsi="Garamond" w:cs="Arial"/>
          <w:i/>
          <w:sz w:val="22"/>
          <w:szCs w:val="22"/>
        </w:rPr>
      </w:pPr>
      <w:r w:rsidRPr="00796697">
        <w:rPr>
          <w:rStyle w:val="Refdenotaalpie"/>
          <w:rFonts w:ascii="Garamond" w:hAnsi="Garamond" w:cs="Arial"/>
          <w:sz w:val="22"/>
          <w:szCs w:val="22"/>
        </w:rPr>
        <w:footnoteRef/>
      </w:r>
      <w:proofErr w:type="spellStart"/>
      <w:r w:rsidRPr="00796697">
        <w:rPr>
          <w:rFonts w:ascii="Garamond" w:hAnsi="Garamond" w:cs="Arial"/>
          <w:i/>
          <w:sz w:val="22"/>
          <w:szCs w:val="22"/>
        </w:rPr>
        <w:t>Idem</w:t>
      </w:r>
      <w:proofErr w:type="spellEnd"/>
      <w:r w:rsidRPr="00796697">
        <w:rPr>
          <w:rFonts w:ascii="Garamond" w:hAnsi="Garamond" w:cs="Arial"/>
          <w:i/>
          <w:sz w:val="22"/>
          <w:szCs w:val="22"/>
        </w:rPr>
        <w:t>.</w:t>
      </w:r>
    </w:p>
    <w:p w:rsidR="00C4445F" w:rsidRPr="00C4445F" w:rsidRDefault="00C4445F" w:rsidP="00C4445F">
      <w:pPr>
        <w:pStyle w:val="Textonotapie"/>
        <w:jc w:val="right"/>
        <w:rPr>
          <w:rFonts w:ascii="Garamond" w:hAnsi="Garamond" w:cs="Arial"/>
          <w:sz w:val="22"/>
          <w:szCs w:val="22"/>
        </w:rPr>
      </w:pPr>
      <w:r>
        <w:rPr>
          <w:rFonts w:ascii="Garamond" w:hAnsi="Garamond" w:cs="Arial"/>
          <w:sz w:val="22"/>
          <w:szCs w:val="22"/>
        </w:rPr>
        <w:t>42</w:t>
      </w:r>
    </w:p>
  </w:footnote>
  <w:footnote w:id="5">
    <w:p w:rsidR="007C47E7" w:rsidRPr="00796697" w:rsidRDefault="007C47E7" w:rsidP="007C47E7">
      <w:pPr>
        <w:pStyle w:val="Textonotapie"/>
        <w:rPr>
          <w:rFonts w:ascii="Garamond" w:hAnsi="Garamond" w:cs="Arial"/>
          <w:sz w:val="22"/>
          <w:szCs w:val="22"/>
        </w:rPr>
      </w:pPr>
      <w:r w:rsidRPr="00796697">
        <w:rPr>
          <w:rStyle w:val="Refdenotaalpie"/>
          <w:rFonts w:ascii="Garamond" w:hAnsi="Garamond" w:cs="Arial"/>
          <w:sz w:val="22"/>
          <w:szCs w:val="22"/>
        </w:rPr>
        <w:footnoteRef/>
      </w:r>
      <w:r w:rsidRPr="00796697">
        <w:rPr>
          <w:rFonts w:ascii="Garamond" w:hAnsi="Garamond" w:cs="Arial"/>
          <w:sz w:val="22"/>
          <w:szCs w:val="22"/>
        </w:rPr>
        <w:t xml:space="preserve"> Concluye reunión nacional sobre nuevo sistema de Justicia Penal, Dirección electrónica: http://www.imagenzac.com.mx/nota/concluye-reunion-nacional-sobre-nuevo-si-22-12-53</w:t>
      </w:r>
    </w:p>
    <w:p w:rsidR="007C47E7" w:rsidRPr="00796697" w:rsidRDefault="007C47E7" w:rsidP="007C47E7">
      <w:pPr>
        <w:pStyle w:val="Textonotapie"/>
        <w:rPr>
          <w:rFonts w:ascii="Garamond" w:hAnsi="Garamond" w:cs="Arial"/>
          <w:sz w:val="22"/>
          <w:szCs w:val="22"/>
        </w:rPr>
      </w:pPr>
      <w:r w:rsidRPr="00796697">
        <w:rPr>
          <w:rFonts w:ascii="Garamond" w:hAnsi="Garamond" w:cs="Arial"/>
          <w:sz w:val="22"/>
          <w:szCs w:val="22"/>
        </w:rPr>
        <w:t xml:space="preserve">Redacción 27 </w:t>
      </w:r>
      <w:proofErr w:type="spellStart"/>
      <w:r w:rsidRPr="00796697">
        <w:rPr>
          <w:rFonts w:ascii="Garamond" w:hAnsi="Garamond" w:cs="Arial"/>
          <w:sz w:val="22"/>
          <w:szCs w:val="22"/>
        </w:rPr>
        <w:t>aug</w:t>
      </w:r>
      <w:proofErr w:type="spellEnd"/>
      <w:r w:rsidRPr="00796697">
        <w:rPr>
          <w:rFonts w:ascii="Garamond" w:hAnsi="Garamond" w:cs="Arial"/>
          <w:sz w:val="22"/>
          <w:szCs w:val="22"/>
        </w:rPr>
        <w:t xml:space="preserve"> 2015 22:12:15.</w:t>
      </w:r>
    </w:p>
  </w:footnote>
  <w:footnote w:id="6">
    <w:p w:rsidR="007C47E7" w:rsidRPr="00940125" w:rsidRDefault="007C47E7" w:rsidP="007C47E7">
      <w:pPr>
        <w:pStyle w:val="Textonotapie"/>
        <w:jc w:val="both"/>
        <w:rPr>
          <w:rFonts w:ascii="Arial" w:hAnsi="Arial" w:cs="Arial"/>
        </w:rPr>
      </w:pPr>
      <w:r w:rsidRPr="00796697">
        <w:rPr>
          <w:rStyle w:val="Refdenotaalpie"/>
          <w:rFonts w:ascii="Garamond" w:hAnsi="Garamond" w:cs="Arial"/>
          <w:sz w:val="22"/>
          <w:szCs w:val="22"/>
        </w:rPr>
        <w:footnoteRef/>
      </w:r>
      <w:proofErr w:type="spellStart"/>
      <w:r w:rsidRPr="00796697">
        <w:rPr>
          <w:rFonts w:ascii="Garamond" w:hAnsi="Garamond" w:cs="Arial"/>
          <w:i/>
          <w:sz w:val="22"/>
          <w:szCs w:val="22"/>
        </w:rPr>
        <w:t>Idem</w:t>
      </w:r>
      <w:proofErr w:type="spellEnd"/>
      <w:r w:rsidRPr="00796697">
        <w:rPr>
          <w:rFonts w:ascii="Garamond" w:hAnsi="Garamond" w:cs="Arial"/>
          <w:i/>
          <w:sz w:val="22"/>
          <w:szCs w:val="22"/>
        </w:rPr>
        <w:t>.</w:t>
      </w:r>
    </w:p>
  </w:footnote>
  <w:footnote w:id="7">
    <w:p w:rsidR="007C47E7" w:rsidRPr="003C21C4" w:rsidRDefault="007C47E7" w:rsidP="007C47E7">
      <w:pPr>
        <w:pStyle w:val="Textonotapie"/>
        <w:jc w:val="both"/>
        <w:rPr>
          <w:rFonts w:ascii="Garamond" w:hAnsi="Garamond" w:cs="Arial"/>
          <w:sz w:val="22"/>
          <w:szCs w:val="22"/>
        </w:rPr>
      </w:pPr>
      <w:r w:rsidRPr="003C21C4">
        <w:rPr>
          <w:rStyle w:val="Refdenotaalpie"/>
          <w:rFonts w:ascii="Garamond" w:hAnsi="Garamond" w:cs="Arial"/>
          <w:sz w:val="22"/>
          <w:szCs w:val="22"/>
        </w:rPr>
        <w:footnoteRef/>
      </w:r>
      <w:r w:rsidRPr="003C21C4">
        <w:rPr>
          <w:rFonts w:ascii="Garamond" w:hAnsi="Garamond" w:cs="Arial"/>
          <w:sz w:val="22"/>
          <w:szCs w:val="22"/>
        </w:rPr>
        <w:t>CIDAC PRESENTA HALLAZGOS SOBRE LOS AVANCES DEL PROCESO DE IMPLEMENTACIÓN DEL NUEVO SISTEMA DE JUSTICIA PENAL EN MÉXICO, Boletín de Prensa, 28 de noviembre de 2013.</w:t>
      </w:r>
    </w:p>
  </w:footnote>
  <w:footnote w:id="8">
    <w:p w:rsidR="007C47E7" w:rsidRDefault="007C47E7" w:rsidP="007C47E7">
      <w:pPr>
        <w:pStyle w:val="Textonotapie"/>
        <w:jc w:val="both"/>
        <w:rPr>
          <w:rFonts w:ascii="Garamond" w:hAnsi="Garamond" w:cs="Arial"/>
          <w:sz w:val="22"/>
          <w:szCs w:val="22"/>
        </w:rPr>
      </w:pPr>
      <w:r w:rsidRPr="003C21C4">
        <w:rPr>
          <w:rStyle w:val="Refdenotaalpie"/>
          <w:rFonts w:ascii="Garamond" w:hAnsi="Garamond" w:cs="Arial"/>
          <w:sz w:val="22"/>
          <w:szCs w:val="22"/>
        </w:rPr>
        <w:footnoteRef/>
      </w:r>
      <w:r w:rsidRPr="003C21C4">
        <w:rPr>
          <w:rFonts w:ascii="Garamond" w:hAnsi="Garamond" w:cs="Arial"/>
          <w:sz w:val="22"/>
          <w:szCs w:val="22"/>
        </w:rPr>
        <w:t>CIDAC PRESENTA HALLAZGOS SOBRE LOS AVANCES DEL PROCESO DE IMPLEMENTACIÓN DEL NUEVO SISTEMA DE JUSTICIA PENAL EN MÉXICO, Boletín de Prensa, 28 de noviembre de 2013.</w:t>
      </w:r>
    </w:p>
    <w:p w:rsidR="00C4445F" w:rsidRPr="003C21C4" w:rsidRDefault="00C4445F" w:rsidP="00C4445F">
      <w:pPr>
        <w:pStyle w:val="Textonotapie"/>
        <w:jc w:val="right"/>
        <w:rPr>
          <w:rFonts w:ascii="Garamond" w:hAnsi="Garamond" w:cs="Arial"/>
          <w:sz w:val="22"/>
          <w:szCs w:val="22"/>
        </w:rPr>
      </w:pPr>
      <w:r>
        <w:rPr>
          <w:rFonts w:ascii="Garamond" w:hAnsi="Garamond" w:cs="Arial"/>
          <w:sz w:val="22"/>
          <w:szCs w:val="22"/>
        </w:rPr>
        <w:t>44</w:t>
      </w:r>
    </w:p>
  </w:footnote>
  <w:footnote w:id="9">
    <w:p w:rsidR="007C47E7" w:rsidRPr="003C21C4" w:rsidRDefault="007C47E7" w:rsidP="007C47E7">
      <w:pPr>
        <w:pStyle w:val="Textonotapie"/>
        <w:jc w:val="both"/>
        <w:rPr>
          <w:rFonts w:ascii="Garamond" w:hAnsi="Garamond" w:cs="Arial"/>
          <w:sz w:val="22"/>
          <w:szCs w:val="22"/>
        </w:rPr>
      </w:pPr>
      <w:r w:rsidRPr="003C21C4">
        <w:rPr>
          <w:rStyle w:val="Refdenotaalpie"/>
          <w:rFonts w:ascii="Garamond" w:hAnsi="Garamond" w:cs="Arial"/>
          <w:sz w:val="22"/>
          <w:szCs w:val="22"/>
        </w:rPr>
        <w:footnoteRef/>
      </w:r>
      <w:r w:rsidRPr="003C21C4">
        <w:rPr>
          <w:rFonts w:ascii="Garamond" w:hAnsi="Garamond" w:cs="Arial"/>
          <w:sz w:val="22"/>
          <w:szCs w:val="22"/>
        </w:rPr>
        <w:t>Véase la nota: Nuevo sistema de Justicia Penal, Dirección electrónica: http</w:t>
      </w:r>
      <w:proofErr w:type="gramStart"/>
      <w:r w:rsidRPr="003C21C4">
        <w:rPr>
          <w:rFonts w:ascii="Garamond" w:hAnsi="Garamond" w:cs="Arial"/>
          <w:sz w:val="22"/>
          <w:szCs w:val="22"/>
        </w:rPr>
        <w:t>:/</w:t>
      </w:r>
      <w:proofErr w:type="gramEnd"/>
      <w:r w:rsidRPr="003C21C4">
        <w:rPr>
          <w:rFonts w:ascii="Garamond" w:hAnsi="Garamond" w:cs="Arial"/>
          <w:sz w:val="22"/>
          <w:szCs w:val="22"/>
        </w:rPr>
        <w:t>/www.oem.com.mx/elsoldecordoba/notas/n3286061.htm</w:t>
      </w:r>
      <w:r>
        <w:rPr>
          <w:rFonts w:ascii="Garamond" w:hAnsi="Garamond" w:cs="Arial"/>
          <w:sz w:val="22"/>
          <w:szCs w:val="22"/>
        </w:rPr>
        <w:t>, consulta: 26/04/16.</w:t>
      </w:r>
    </w:p>
  </w:footnote>
  <w:footnote w:id="10">
    <w:p w:rsidR="007C47E7" w:rsidRPr="003C21C4" w:rsidRDefault="007C47E7" w:rsidP="007C47E7">
      <w:pPr>
        <w:pStyle w:val="Textonotapie"/>
        <w:jc w:val="both"/>
        <w:rPr>
          <w:rFonts w:ascii="Garamond" w:hAnsi="Garamond" w:cs="Arial"/>
          <w:sz w:val="22"/>
          <w:szCs w:val="22"/>
        </w:rPr>
      </w:pPr>
      <w:r w:rsidRPr="003C21C4">
        <w:rPr>
          <w:rStyle w:val="Refdenotaalpie"/>
          <w:rFonts w:ascii="Garamond" w:hAnsi="Garamond" w:cs="Arial"/>
          <w:sz w:val="22"/>
          <w:szCs w:val="22"/>
        </w:rPr>
        <w:footnoteRef/>
      </w:r>
      <w:r w:rsidRPr="003C21C4">
        <w:rPr>
          <w:rFonts w:ascii="Garamond" w:hAnsi="Garamond" w:cs="Arial"/>
          <w:sz w:val="22"/>
          <w:szCs w:val="22"/>
        </w:rPr>
        <w:t>Publicado en el Diario Oficial de la Federación el 5 de febrero de 2014.</w:t>
      </w:r>
    </w:p>
  </w:footnote>
  <w:footnote w:id="11">
    <w:p w:rsidR="007C47E7" w:rsidRPr="003C21C4" w:rsidRDefault="007C47E7" w:rsidP="007C47E7">
      <w:pPr>
        <w:pStyle w:val="Textonotapie"/>
        <w:jc w:val="both"/>
        <w:rPr>
          <w:rFonts w:ascii="Garamond" w:hAnsi="Garamond" w:cs="Arial"/>
          <w:sz w:val="22"/>
          <w:szCs w:val="22"/>
        </w:rPr>
      </w:pPr>
      <w:r w:rsidRPr="003C21C4">
        <w:rPr>
          <w:rStyle w:val="Refdenotaalpie"/>
          <w:rFonts w:ascii="Garamond" w:hAnsi="Garamond" w:cs="Arial"/>
          <w:sz w:val="22"/>
          <w:szCs w:val="22"/>
        </w:rPr>
        <w:footnoteRef/>
      </w:r>
      <w:r w:rsidRPr="003C21C4">
        <w:rPr>
          <w:rFonts w:ascii="Garamond" w:hAnsi="Garamond" w:cs="Arial"/>
          <w:sz w:val="22"/>
          <w:szCs w:val="22"/>
        </w:rPr>
        <w:t xml:space="preserve">Véase García Ramírez, Sergio, “Comentarios sobre el Código Nacional de Procedimientos Penales”, en Boletín Mexicano de Derecho Comparado, nueva serie, año XLVII, núm. 141, septiembre-diciembre, 2014, pp. 1167-1190. Comentarios al Código Nacional de Procedimientos Penales, Coordinadores Moisés Moreno Hernández y Miguel Ontiveros Alonso, UBIJUS, México, 2014. Guía de apoyo para el estudio y aplicación del Código Nacional de Procedimientos Penales, Suprema Corte de Justicia de la Nación, Poder Judicial de la Federación, Consejo de la Judicatura Federal, México, 2014. </w:t>
      </w:r>
    </w:p>
  </w:footnote>
  <w:footnote w:id="12">
    <w:p w:rsidR="007C47E7" w:rsidRPr="004B036E" w:rsidRDefault="007C47E7" w:rsidP="007C47E7">
      <w:pPr>
        <w:pStyle w:val="Textonotapie"/>
        <w:jc w:val="both"/>
        <w:rPr>
          <w:rFonts w:ascii="Garamond" w:hAnsi="Garamond" w:cs="Arial"/>
          <w:sz w:val="22"/>
          <w:szCs w:val="22"/>
        </w:rPr>
      </w:pPr>
      <w:r w:rsidRPr="004B036E">
        <w:rPr>
          <w:rStyle w:val="Refdenotaalpie"/>
          <w:rFonts w:ascii="Garamond" w:hAnsi="Garamond" w:cs="Arial"/>
          <w:sz w:val="22"/>
          <w:szCs w:val="22"/>
        </w:rPr>
        <w:footnoteRef/>
      </w:r>
      <w:r w:rsidRPr="004B036E">
        <w:rPr>
          <w:rFonts w:ascii="Garamond" w:hAnsi="Garamond" w:cs="Arial"/>
          <w:sz w:val="22"/>
          <w:szCs w:val="22"/>
        </w:rPr>
        <w:t>Véase: “Juicios orales: a un año de fecha límite implementación no alcanza el 60%. Cuatro de cada 10 mexicanos sigue bajo jurisdicción del viejo sistema. Solo seis estados aplican totalmente los juicios orales. Faltan además leyes y recursos”. MAYO 12, 2015. Arturo Ángel (@arturoangel20)</w:t>
      </w:r>
    </w:p>
    <w:p w:rsidR="007C47E7" w:rsidRPr="004B036E" w:rsidRDefault="007C47E7" w:rsidP="007C47E7">
      <w:pPr>
        <w:pStyle w:val="Textonotapie"/>
        <w:jc w:val="both"/>
        <w:rPr>
          <w:rFonts w:ascii="Garamond" w:hAnsi="Garamond" w:cs="Arial"/>
          <w:sz w:val="22"/>
          <w:szCs w:val="22"/>
        </w:rPr>
      </w:pPr>
      <w:r w:rsidRPr="004B036E">
        <w:rPr>
          <w:rFonts w:ascii="Garamond" w:hAnsi="Garamond" w:cs="Arial"/>
          <w:sz w:val="22"/>
          <w:szCs w:val="22"/>
        </w:rPr>
        <w:t>Animal Político. Dirección electrónica: http</w:t>
      </w:r>
      <w:proofErr w:type="gramStart"/>
      <w:r w:rsidRPr="004B036E">
        <w:rPr>
          <w:rFonts w:ascii="Garamond" w:hAnsi="Garamond" w:cs="Arial"/>
          <w:sz w:val="22"/>
          <w:szCs w:val="22"/>
        </w:rPr>
        <w:t>:/</w:t>
      </w:r>
      <w:proofErr w:type="gramEnd"/>
      <w:r w:rsidRPr="004B036E">
        <w:rPr>
          <w:rFonts w:ascii="Garamond" w:hAnsi="Garamond" w:cs="Arial"/>
          <w:sz w:val="22"/>
          <w:szCs w:val="22"/>
        </w:rPr>
        <w:t>/www.animalpolitico.com/2015/05/juicios-orales-a-un-ano-de-fecha-limite-implementacion-no-alcanza-el-60/</w:t>
      </w:r>
      <w:r>
        <w:rPr>
          <w:rFonts w:ascii="Garamond" w:hAnsi="Garamond" w:cs="Arial"/>
          <w:sz w:val="22"/>
          <w:szCs w:val="22"/>
        </w:rPr>
        <w:t>, consulta: 26/04/16.</w:t>
      </w:r>
    </w:p>
  </w:footnote>
  <w:footnote w:id="13">
    <w:p w:rsidR="007C47E7" w:rsidRDefault="007C47E7" w:rsidP="007C47E7">
      <w:pPr>
        <w:pStyle w:val="Textonotapie"/>
        <w:jc w:val="both"/>
        <w:rPr>
          <w:rFonts w:ascii="Garamond" w:hAnsi="Garamond" w:cs="Arial"/>
          <w:sz w:val="22"/>
          <w:szCs w:val="22"/>
        </w:rPr>
      </w:pPr>
      <w:r w:rsidRPr="004B036E">
        <w:rPr>
          <w:rStyle w:val="Refdenotaalpie"/>
          <w:rFonts w:ascii="Garamond" w:hAnsi="Garamond" w:cs="Arial"/>
          <w:sz w:val="22"/>
          <w:szCs w:val="22"/>
        </w:rPr>
        <w:footnoteRef/>
      </w:r>
      <w:r w:rsidRPr="004B036E">
        <w:rPr>
          <w:rFonts w:ascii="Garamond" w:hAnsi="Garamond" w:cs="Arial"/>
          <w:sz w:val="22"/>
          <w:szCs w:val="22"/>
        </w:rPr>
        <w:t xml:space="preserve">Los datos que se citan a continuación fueron proporcionados durante la Conferencia a cargo de la Dr. María de los Ángeles </w:t>
      </w:r>
      <w:proofErr w:type="spellStart"/>
      <w:r w:rsidRPr="004B036E">
        <w:rPr>
          <w:rFonts w:ascii="Garamond" w:hAnsi="Garamond" w:cs="Arial"/>
          <w:sz w:val="22"/>
          <w:szCs w:val="22"/>
        </w:rPr>
        <w:t>Fromow</w:t>
      </w:r>
      <w:proofErr w:type="spellEnd"/>
      <w:r w:rsidRPr="004B036E">
        <w:rPr>
          <w:rFonts w:ascii="Garamond" w:hAnsi="Garamond" w:cs="Arial"/>
          <w:sz w:val="22"/>
          <w:szCs w:val="22"/>
        </w:rPr>
        <w:t xml:space="preserve"> Rangel, Titular de la Secretaría Técnica del Consejo de Coordinación para la implementación del sistema de justicia penal, durante el “Sexto Foro Nacional sobre Seguridad y Justicia: Cómo sí implementar la reforma penal”, celebrado en la Ciudad de México los días 14 y 15 de mayo de 2014.</w:t>
      </w:r>
    </w:p>
    <w:p w:rsidR="00C4445F" w:rsidRPr="004B036E" w:rsidRDefault="00C4445F" w:rsidP="00C4445F">
      <w:pPr>
        <w:pStyle w:val="Textonotapie"/>
        <w:jc w:val="right"/>
        <w:rPr>
          <w:rFonts w:ascii="Garamond" w:hAnsi="Garamond" w:cs="Arial"/>
          <w:sz w:val="22"/>
          <w:szCs w:val="22"/>
        </w:rPr>
      </w:pPr>
      <w:r>
        <w:rPr>
          <w:rFonts w:ascii="Garamond" w:hAnsi="Garamond" w:cs="Arial"/>
          <w:sz w:val="22"/>
          <w:szCs w:val="22"/>
        </w:rPr>
        <w:t>46</w:t>
      </w:r>
    </w:p>
  </w:footnote>
  <w:footnote w:id="14">
    <w:p w:rsidR="007C47E7" w:rsidRPr="00EF6986" w:rsidRDefault="007C47E7" w:rsidP="007C47E7">
      <w:pPr>
        <w:pStyle w:val="Textonotapie"/>
        <w:rPr>
          <w:rFonts w:ascii="Garamond" w:hAnsi="Garamond" w:cs="Arial"/>
          <w:i/>
          <w:sz w:val="22"/>
          <w:szCs w:val="22"/>
        </w:rPr>
      </w:pPr>
      <w:r w:rsidRPr="00EF6986">
        <w:rPr>
          <w:rStyle w:val="Refdenotaalpie"/>
          <w:rFonts w:ascii="Garamond" w:hAnsi="Garamond" w:cs="Arial"/>
          <w:i/>
          <w:sz w:val="22"/>
          <w:szCs w:val="22"/>
        </w:rPr>
        <w:footnoteRef/>
      </w:r>
      <w:proofErr w:type="spellStart"/>
      <w:r w:rsidRPr="00EF6986">
        <w:rPr>
          <w:rFonts w:ascii="Garamond" w:hAnsi="Garamond" w:cs="Arial"/>
          <w:i/>
          <w:sz w:val="22"/>
          <w:szCs w:val="22"/>
        </w:rPr>
        <w:t>Idem</w:t>
      </w:r>
      <w:proofErr w:type="spellEnd"/>
      <w:r w:rsidRPr="00EF6986">
        <w:rPr>
          <w:rFonts w:ascii="Garamond" w:hAnsi="Garamond" w:cs="Arial"/>
          <w:i/>
          <w:sz w:val="22"/>
          <w:szCs w:val="22"/>
        </w:rPr>
        <w:t>.</w:t>
      </w:r>
    </w:p>
  </w:footnote>
  <w:footnote w:id="15">
    <w:p w:rsidR="007C47E7" w:rsidRPr="00EF6986" w:rsidRDefault="007C47E7" w:rsidP="007C47E7">
      <w:pPr>
        <w:pStyle w:val="Textonotapie"/>
        <w:jc w:val="both"/>
        <w:rPr>
          <w:rFonts w:ascii="Garamond" w:hAnsi="Garamond" w:cs="Arial"/>
          <w:sz w:val="22"/>
          <w:szCs w:val="22"/>
        </w:rPr>
      </w:pPr>
      <w:r w:rsidRPr="00EF6986">
        <w:rPr>
          <w:rStyle w:val="Refdenotaalpie"/>
          <w:rFonts w:ascii="Garamond" w:hAnsi="Garamond" w:cs="Arial"/>
          <w:sz w:val="22"/>
          <w:szCs w:val="22"/>
        </w:rPr>
        <w:footnoteRef/>
      </w:r>
      <w:r w:rsidRPr="00EF6986">
        <w:rPr>
          <w:rFonts w:ascii="Garamond" w:hAnsi="Garamond" w:cs="Arial"/>
          <w:sz w:val="22"/>
          <w:szCs w:val="22"/>
        </w:rPr>
        <w:t>Además, emitir las normas de carácter administrativo que provean la exacta observancia de las disposiciones legales contenidas en el CNPP; entre ellas: Acuerdos, Manuales, Reglamentos y Circulares.</w:t>
      </w:r>
    </w:p>
  </w:footnote>
  <w:footnote w:id="16">
    <w:p w:rsidR="007C47E7" w:rsidRPr="00EF6986" w:rsidRDefault="007C47E7" w:rsidP="007C47E7">
      <w:pPr>
        <w:pStyle w:val="Textonotapie"/>
        <w:rPr>
          <w:rFonts w:ascii="Garamond" w:hAnsi="Garamond" w:cs="Arial"/>
          <w:sz w:val="22"/>
          <w:szCs w:val="22"/>
        </w:rPr>
      </w:pPr>
      <w:r w:rsidRPr="00EF6986">
        <w:rPr>
          <w:rStyle w:val="Refdenotaalpie"/>
          <w:rFonts w:ascii="Garamond" w:hAnsi="Garamond" w:cs="Arial"/>
          <w:sz w:val="22"/>
          <w:szCs w:val="22"/>
        </w:rPr>
        <w:footnoteRef/>
      </w:r>
      <w:r w:rsidRPr="00EF6986">
        <w:rPr>
          <w:rFonts w:ascii="Garamond" w:hAnsi="Garamond" w:cs="Arial"/>
          <w:sz w:val="22"/>
          <w:szCs w:val="22"/>
        </w:rPr>
        <w:t>Publicada en el Diario Oficial de la Federación el 10 de junio de 2011.</w:t>
      </w:r>
    </w:p>
  </w:footnote>
  <w:footnote w:id="17">
    <w:p w:rsidR="007C47E7" w:rsidRPr="00EF6986" w:rsidRDefault="007C47E7" w:rsidP="007C47E7">
      <w:pPr>
        <w:pStyle w:val="Textonotapie"/>
        <w:rPr>
          <w:rFonts w:ascii="Garamond" w:hAnsi="Garamond" w:cs="Arial"/>
          <w:sz w:val="22"/>
          <w:szCs w:val="22"/>
        </w:rPr>
      </w:pPr>
      <w:r w:rsidRPr="00EF6986">
        <w:rPr>
          <w:rStyle w:val="Refdenotaalpie"/>
          <w:rFonts w:ascii="Garamond" w:hAnsi="Garamond" w:cs="Arial"/>
          <w:sz w:val="22"/>
          <w:szCs w:val="22"/>
        </w:rPr>
        <w:footnoteRef/>
      </w:r>
      <w:r w:rsidRPr="00EF6986">
        <w:rPr>
          <w:rFonts w:ascii="Garamond" w:hAnsi="Garamond" w:cs="Arial"/>
          <w:sz w:val="22"/>
          <w:szCs w:val="22"/>
        </w:rPr>
        <w:t xml:space="preserve">Publicada en el Diario Oficial de la Federación el 4 de abril de 2014. </w:t>
      </w:r>
    </w:p>
  </w:footnote>
  <w:footnote w:id="18">
    <w:p w:rsidR="007C47E7" w:rsidRPr="00EF6986" w:rsidRDefault="007C47E7" w:rsidP="007C47E7">
      <w:pPr>
        <w:pStyle w:val="Textonotapie"/>
        <w:rPr>
          <w:rFonts w:ascii="Garamond" w:hAnsi="Garamond" w:cs="Arial"/>
          <w:sz w:val="22"/>
          <w:szCs w:val="22"/>
        </w:rPr>
      </w:pPr>
      <w:r w:rsidRPr="00EF6986">
        <w:rPr>
          <w:rStyle w:val="Refdenotaalpie"/>
          <w:rFonts w:ascii="Garamond" w:hAnsi="Garamond" w:cs="Arial"/>
          <w:sz w:val="22"/>
          <w:szCs w:val="22"/>
        </w:rPr>
        <w:footnoteRef/>
      </w:r>
      <w:r w:rsidRPr="00EF6986">
        <w:rPr>
          <w:rFonts w:ascii="Garamond" w:hAnsi="Garamond" w:cs="Arial"/>
          <w:sz w:val="22"/>
          <w:szCs w:val="22"/>
        </w:rPr>
        <w:t xml:space="preserve"> Publicada en el Diario Oficial de la Federación el 29 de diciembre de 2014.</w:t>
      </w:r>
    </w:p>
  </w:footnote>
  <w:footnote w:id="19">
    <w:p w:rsidR="007C47E7" w:rsidRPr="00EF6986" w:rsidRDefault="007C47E7" w:rsidP="007C47E7">
      <w:pPr>
        <w:pStyle w:val="Textonotapie"/>
        <w:rPr>
          <w:rFonts w:ascii="Garamond" w:hAnsi="Garamond" w:cs="Arial"/>
          <w:sz w:val="22"/>
          <w:szCs w:val="22"/>
        </w:rPr>
      </w:pPr>
      <w:r w:rsidRPr="00EF6986">
        <w:rPr>
          <w:rStyle w:val="Refdenotaalpie"/>
          <w:rFonts w:ascii="Garamond" w:hAnsi="Garamond" w:cs="Arial"/>
          <w:sz w:val="22"/>
          <w:szCs w:val="22"/>
        </w:rPr>
        <w:footnoteRef/>
      </w:r>
      <w:r w:rsidRPr="00EF6986">
        <w:rPr>
          <w:rFonts w:ascii="Garamond" w:hAnsi="Garamond" w:cs="Arial"/>
          <w:sz w:val="22"/>
          <w:szCs w:val="22"/>
        </w:rPr>
        <w:t>Publicada en el Diario Oficial de la Federación el 24 de diciembre de 2014.</w:t>
      </w:r>
    </w:p>
  </w:footnote>
  <w:footnote w:id="20">
    <w:p w:rsidR="007C47E7" w:rsidRPr="00EF6986" w:rsidRDefault="007C47E7" w:rsidP="007C47E7">
      <w:pPr>
        <w:pStyle w:val="Textonotapie"/>
        <w:rPr>
          <w:rFonts w:ascii="Garamond" w:hAnsi="Garamond" w:cs="Arial"/>
          <w:sz w:val="22"/>
          <w:szCs w:val="22"/>
        </w:rPr>
      </w:pPr>
      <w:r w:rsidRPr="00EF6986">
        <w:rPr>
          <w:rStyle w:val="Refdenotaalpie"/>
          <w:rFonts w:ascii="Garamond" w:hAnsi="Garamond" w:cs="Arial"/>
          <w:sz w:val="22"/>
          <w:szCs w:val="22"/>
        </w:rPr>
        <w:footnoteRef/>
      </w:r>
      <w:r w:rsidRPr="00EF6986">
        <w:rPr>
          <w:rFonts w:ascii="Garamond" w:hAnsi="Garamond" w:cs="Arial"/>
          <w:sz w:val="22"/>
          <w:szCs w:val="22"/>
        </w:rPr>
        <w:t xml:space="preserve"> Publicado en el Diario Oficial de la Federación, 30 de enero de 2015.</w:t>
      </w:r>
    </w:p>
  </w:footnote>
  <w:footnote w:id="21">
    <w:p w:rsidR="007C47E7" w:rsidRDefault="007C47E7" w:rsidP="007C47E7">
      <w:pPr>
        <w:pStyle w:val="Textonotapie"/>
        <w:jc w:val="both"/>
        <w:rPr>
          <w:rFonts w:ascii="Garamond" w:hAnsi="Garamond" w:cs="Arial"/>
          <w:sz w:val="22"/>
          <w:szCs w:val="22"/>
        </w:rPr>
      </w:pPr>
      <w:r w:rsidRPr="00EF6986">
        <w:rPr>
          <w:rStyle w:val="Refdenotaalpie"/>
          <w:rFonts w:ascii="Garamond" w:hAnsi="Garamond" w:cs="Arial"/>
          <w:sz w:val="22"/>
          <w:szCs w:val="22"/>
        </w:rPr>
        <w:footnoteRef/>
      </w:r>
      <w:r w:rsidRPr="00EF6986">
        <w:rPr>
          <w:rFonts w:ascii="Garamond" w:hAnsi="Garamond" w:cs="Arial"/>
          <w:sz w:val="22"/>
          <w:szCs w:val="22"/>
        </w:rPr>
        <w:t>Véase Informe General. Seguimiento del Proceso de implementación de la Reforma Penal en México, Estados de Chihuahua, Estado de México, Morelos, Oaxaca y Zacatecas, 2007-2011, SEGOB, CEJA, USAID, México, 2012.</w:t>
      </w:r>
    </w:p>
    <w:p w:rsidR="00C4445F" w:rsidRPr="00EF6986" w:rsidRDefault="00C4445F" w:rsidP="00C4445F">
      <w:pPr>
        <w:pStyle w:val="Textonotapie"/>
        <w:jc w:val="right"/>
        <w:rPr>
          <w:rFonts w:ascii="Garamond" w:hAnsi="Garamond" w:cs="Arial"/>
          <w:sz w:val="22"/>
          <w:szCs w:val="22"/>
        </w:rPr>
      </w:pPr>
      <w:r>
        <w:rPr>
          <w:rFonts w:ascii="Garamond" w:hAnsi="Garamond" w:cs="Arial"/>
          <w:sz w:val="22"/>
          <w:szCs w:val="22"/>
        </w:rPr>
        <w:t>48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F22" w:rsidRDefault="00462F22">
    <w:pPr>
      <w:pStyle w:val="Encabezado"/>
    </w:pPr>
    <w:r w:rsidRPr="00462F22">
      <w:rPr>
        <w:noProof/>
        <w:lang w:eastAsia="es-MX"/>
      </w:rPr>
      <w:drawing>
        <wp:inline distT="0" distB="0" distL="0" distR="0">
          <wp:extent cx="224298" cy="365981"/>
          <wp:effectExtent l="19050" t="0" r="4302" b="0"/>
          <wp:docPr id="1" name="609 Imagen" descr="DED-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BN.PNG"/>
                  <pic:cNvPicPr/>
                </pic:nvPicPr>
                <pic:blipFill>
                  <a:blip r:embed="rId1"/>
                  <a:stretch>
                    <a:fillRect/>
                  </a:stretch>
                </pic:blipFill>
                <pic:spPr>
                  <a:xfrm>
                    <a:off x="0" y="0"/>
                    <a:ext cx="224196" cy="365814"/>
                  </a:xfrm>
                  <a:prstGeom prst="rect">
                    <a:avLst/>
                  </a:prstGeom>
                </pic:spPr>
              </pic:pic>
            </a:graphicData>
          </a:graphic>
        </wp:inline>
      </w:drawing>
    </w:r>
    <w:r>
      <w:tab/>
    </w:r>
    <w:r>
      <w:tab/>
    </w:r>
    <w:r w:rsidRPr="00462F22">
      <w:rPr>
        <w:noProof/>
        <w:lang w:eastAsia="es-MX"/>
      </w:rPr>
      <w:drawing>
        <wp:inline distT="0" distB="0" distL="0" distR="0">
          <wp:extent cx="727363" cy="312262"/>
          <wp:effectExtent l="0" t="0" r="0" b="0"/>
          <wp:docPr id="2" name="613 Imagen" descr="Amicus Curiaepl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Curiaepleca.png"/>
                  <pic:cNvPicPr/>
                </pic:nvPicPr>
                <pic:blipFill>
                  <a:blip r:embed="rId2"/>
                  <a:stretch>
                    <a:fillRect/>
                  </a:stretch>
                </pic:blipFill>
                <pic:spPr>
                  <a:xfrm>
                    <a:off x="0" y="0"/>
                    <a:ext cx="729117" cy="3130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46BD3"/>
    <w:multiLevelType w:val="hybridMultilevel"/>
    <w:tmpl w:val="8A929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C71EEE"/>
    <w:multiLevelType w:val="hybridMultilevel"/>
    <w:tmpl w:val="719044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A00272"/>
    <w:multiLevelType w:val="hybridMultilevel"/>
    <w:tmpl w:val="13EA42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A351D2"/>
    <w:multiLevelType w:val="hybridMultilevel"/>
    <w:tmpl w:val="E0247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624ACF"/>
    <w:multiLevelType w:val="hybridMultilevel"/>
    <w:tmpl w:val="4AF64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F96EA7"/>
    <w:multiLevelType w:val="hybridMultilevel"/>
    <w:tmpl w:val="4E92CB3A"/>
    <w:lvl w:ilvl="0" w:tplc="D3CEFD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7130F0D"/>
    <w:multiLevelType w:val="hybridMultilevel"/>
    <w:tmpl w:val="3984F0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C246286"/>
    <w:multiLevelType w:val="hybridMultilevel"/>
    <w:tmpl w:val="F294AF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A5A2FD0"/>
    <w:multiLevelType w:val="hybridMultilevel"/>
    <w:tmpl w:val="1344753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9">
    <w:nsid w:val="5A391219"/>
    <w:multiLevelType w:val="hybridMultilevel"/>
    <w:tmpl w:val="11E4CF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C3C38A4"/>
    <w:multiLevelType w:val="hybridMultilevel"/>
    <w:tmpl w:val="41303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EB65696"/>
    <w:multiLevelType w:val="hybridMultilevel"/>
    <w:tmpl w:val="F7D44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EF67C06"/>
    <w:multiLevelType w:val="hybridMultilevel"/>
    <w:tmpl w:val="721E5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9"/>
  </w:num>
  <w:num w:numId="5">
    <w:abstractNumId w:val="3"/>
  </w:num>
  <w:num w:numId="6">
    <w:abstractNumId w:val="12"/>
  </w:num>
  <w:num w:numId="7">
    <w:abstractNumId w:val="8"/>
  </w:num>
  <w:num w:numId="8">
    <w:abstractNumId w:val="6"/>
  </w:num>
  <w:num w:numId="9">
    <w:abstractNumId w:val="11"/>
  </w:num>
  <w:num w:numId="10">
    <w:abstractNumId w:val="0"/>
  </w:num>
  <w:num w:numId="11">
    <w:abstractNumId w:val="4"/>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3816"/>
    <w:rsid w:val="000008B9"/>
    <w:rsid w:val="00001215"/>
    <w:rsid w:val="000071A9"/>
    <w:rsid w:val="000224C5"/>
    <w:rsid w:val="00033027"/>
    <w:rsid w:val="00097AE2"/>
    <w:rsid w:val="000A13F1"/>
    <w:rsid w:val="000B21FB"/>
    <w:rsid w:val="000C4966"/>
    <w:rsid w:val="000D3DF8"/>
    <w:rsid w:val="00132F39"/>
    <w:rsid w:val="0013666C"/>
    <w:rsid w:val="0014593A"/>
    <w:rsid w:val="00163361"/>
    <w:rsid w:val="0017378C"/>
    <w:rsid w:val="00182226"/>
    <w:rsid w:val="00183067"/>
    <w:rsid w:val="0019590F"/>
    <w:rsid w:val="001A02C8"/>
    <w:rsid w:val="001B5886"/>
    <w:rsid w:val="001C5C1E"/>
    <w:rsid w:val="002052D0"/>
    <w:rsid w:val="002107D2"/>
    <w:rsid w:val="00225BB8"/>
    <w:rsid w:val="00227457"/>
    <w:rsid w:val="00230542"/>
    <w:rsid w:val="002602AC"/>
    <w:rsid w:val="0026625B"/>
    <w:rsid w:val="00281BE4"/>
    <w:rsid w:val="002C1993"/>
    <w:rsid w:val="002C3FD1"/>
    <w:rsid w:val="002D1585"/>
    <w:rsid w:val="002E4097"/>
    <w:rsid w:val="00315F8A"/>
    <w:rsid w:val="0032395B"/>
    <w:rsid w:val="00327357"/>
    <w:rsid w:val="00334C65"/>
    <w:rsid w:val="00337F73"/>
    <w:rsid w:val="003519C2"/>
    <w:rsid w:val="0037294B"/>
    <w:rsid w:val="00377456"/>
    <w:rsid w:val="00380627"/>
    <w:rsid w:val="003A1686"/>
    <w:rsid w:val="003A59D2"/>
    <w:rsid w:val="003B6301"/>
    <w:rsid w:val="003D162F"/>
    <w:rsid w:val="003D45D4"/>
    <w:rsid w:val="00436378"/>
    <w:rsid w:val="00442AFD"/>
    <w:rsid w:val="00450C40"/>
    <w:rsid w:val="00453DBA"/>
    <w:rsid w:val="00462F22"/>
    <w:rsid w:val="004721DB"/>
    <w:rsid w:val="004B7720"/>
    <w:rsid w:val="004D4814"/>
    <w:rsid w:val="004E5D64"/>
    <w:rsid w:val="004F650A"/>
    <w:rsid w:val="0050101F"/>
    <w:rsid w:val="00530740"/>
    <w:rsid w:val="005307B7"/>
    <w:rsid w:val="005312C9"/>
    <w:rsid w:val="0053651F"/>
    <w:rsid w:val="00562B90"/>
    <w:rsid w:val="00597A51"/>
    <w:rsid w:val="005A42AA"/>
    <w:rsid w:val="005C4B41"/>
    <w:rsid w:val="005D14A8"/>
    <w:rsid w:val="005D5FF7"/>
    <w:rsid w:val="005F02EC"/>
    <w:rsid w:val="005F6ACB"/>
    <w:rsid w:val="00606DDB"/>
    <w:rsid w:val="00614275"/>
    <w:rsid w:val="006205DF"/>
    <w:rsid w:val="0062081D"/>
    <w:rsid w:val="00632B20"/>
    <w:rsid w:val="00642EAC"/>
    <w:rsid w:val="00654824"/>
    <w:rsid w:val="0066479D"/>
    <w:rsid w:val="00690169"/>
    <w:rsid w:val="00691D59"/>
    <w:rsid w:val="006921A8"/>
    <w:rsid w:val="006B350C"/>
    <w:rsid w:val="006C5A66"/>
    <w:rsid w:val="006D58E8"/>
    <w:rsid w:val="006D78CF"/>
    <w:rsid w:val="006E449D"/>
    <w:rsid w:val="006F7895"/>
    <w:rsid w:val="0071642C"/>
    <w:rsid w:val="007C47E7"/>
    <w:rsid w:val="007C4B73"/>
    <w:rsid w:val="007E1330"/>
    <w:rsid w:val="007E3DE3"/>
    <w:rsid w:val="007F53DF"/>
    <w:rsid w:val="00805839"/>
    <w:rsid w:val="00807542"/>
    <w:rsid w:val="00816197"/>
    <w:rsid w:val="008208F0"/>
    <w:rsid w:val="00820D6B"/>
    <w:rsid w:val="0082492D"/>
    <w:rsid w:val="00825F2D"/>
    <w:rsid w:val="00825F5A"/>
    <w:rsid w:val="00831C9A"/>
    <w:rsid w:val="00832875"/>
    <w:rsid w:val="008329E8"/>
    <w:rsid w:val="00840701"/>
    <w:rsid w:val="0085568A"/>
    <w:rsid w:val="00863259"/>
    <w:rsid w:val="00866CAA"/>
    <w:rsid w:val="008978BB"/>
    <w:rsid w:val="008A413E"/>
    <w:rsid w:val="008A41B7"/>
    <w:rsid w:val="008C2430"/>
    <w:rsid w:val="008C2927"/>
    <w:rsid w:val="008C7BAB"/>
    <w:rsid w:val="008D249D"/>
    <w:rsid w:val="008D624B"/>
    <w:rsid w:val="008F40A4"/>
    <w:rsid w:val="009559A2"/>
    <w:rsid w:val="00955AE3"/>
    <w:rsid w:val="00973843"/>
    <w:rsid w:val="00977798"/>
    <w:rsid w:val="009B3285"/>
    <w:rsid w:val="009D3E27"/>
    <w:rsid w:val="009E3816"/>
    <w:rsid w:val="009F5A60"/>
    <w:rsid w:val="00A0136B"/>
    <w:rsid w:val="00A609CB"/>
    <w:rsid w:val="00A76984"/>
    <w:rsid w:val="00A81FC8"/>
    <w:rsid w:val="00A8323D"/>
    <w:rsid w:val="00A83C0E"/>
    <w:rsid w:val="00A87631"/>
    <w:rsid w:val="00A91FDE"/>
    <w:rsid w:val="00AA23DA"/>
    <w:rsid w:val="00AB0CE8"/>
    <w:rsid w:val="00AB5D8F"/>
    <w:rsid w:val="00AB6C05"/>
    <w:rsid w:val="00AE5CC8"/>
    <w:rsid w:val="00AF065A"/>
    <w:rsid w:val="00B1088C"/>
    <w:rsid w:val="00B55999"/>
    <w:rsid w:val="00B568D0"/>
    <w:rsid w:val="00B724D5"/>
    <w:rsid w:val="00B75553"/>
    <w:rsid w:val="00B92AD2"/>
    <w:rsid w:val="00B94ED3"/>
    <w:rsid w:val="00BA7834"/>
    <w:rsid w:val="00BD32C9"/>
    <w:rsid w:val="00BE4BE6"/>
    <w:rsid w:val="00C07E4F"/>
    <w:rsid w:val="00C15E94"/>
    <w:rsid w:val="00C21BB2"/>
    <w:rsid w:val="00C23F93"/>
    <w:rsid w:val="00C257F2"/>
    <w:rsid w:val="00C350C1"/>
    <w:rsid w:val="00C37DAC"/>
    <w:rsid w:val="00C4445F"/>
    <w:rsid w:val="00C52D10"/>
    <w:rsid w:val="00CA2167"/>
    <w:rsid w:val="00CA762D"/>
    <w:rsid w:val="00CC7E7C"/>
    <w:rsid w:val="00CE41E8"/>
    <w:rsid w:val="00D078B2"/>
    <w:rsid w:val="00D37536"/>
    <w:rsid w:val="00D52804"/>
    <w:rsid w:val="00D52BF7"/>
    <w:rsid w:val="00DA05DE"/>
    <w:rsid w:val="00DC1C70"/>
    <w:rsid w:val="00DC2B32"/>
    <w:rsid w:val="00DD3FC1"/>
    <w:rsid w:val="00DD5E96"/>
    <w:rsid w:val="00DF39CA"/>
    <w:rsid w:val="00DF5A18"/>
    <w:rsid w:val="00E27D1B"/>
    <w:rsid w:val="00E43BE9"/>
    <w:rsid w:val="00E914AE"/>
    <w:rsid w:val="00ED0DEC"/>
    <w:rsid w:val="00EE23AF"/>
    <w:rsid w:val="00F207AC"/>
    <w:rsid w:val="00F26D78"/>
    <w:rsid w:val="00F679AC"/>
    <w:rsid w:val="00F73AD9"/>
    <w:rsid w:val="00F73E43"/>
    <w:rsid w:val="00F9235C"/>
    <w:rsid w:val="00FC56A6"/>
    <w:rsid w:val="00FE3AC7"/>
    <w:rsid w:val="00FF2ADD"/>
    <w:rsid w:val="00FF2C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ido Amicus"/>
    <w:qFormat/>
    <w:rsid w:val="00EE23AF"/>
    <w:pPr>
      <w:jc w:val="both"/>
    </w:pPr>
    <w:rPr>
      <w:rFonts w:ascii="Garamond" w:hAnsi="Garamond"/>
      <w:sz w:val="24"/>
    </w:rPr>
  </w:style>
  <w:style w:type="paragraph" w:styleId="Ttulo1">
    <w:name w:val="heading 1"/>
    <w:aliases w:val="Amicus titulo"/>
    <w:basedOn w:val="Normal"/>
    <w:next w:val="Normal"/>
    <w:link w:val="Ttulo1Car"/>
    <w:uiPriority w:val="9"/>
    <w:qFormat/>
    <w:rsid w:val="008C7BAB"/>
    <w:pPr>
      <w:keepNext/>
      <w:keepLines/>
      <w:spacing w:before="480" w:after="0"/>
      <w:outlineLvl w:val="0"/>
    </w:pPr>
    <w:rPr>
      <w:rFonts w:eastAsiaTheme="majorEastAsia" w:cstheme="majorBidi"/>
      <w:b/>
      <w:bCs/>
      <w:sz w:val="28"/>
      <w:szCs w:val="28"/>
    </w:rPr>
  </w:style>
  <w:style w:type="paragraph" w:styleId="Ttulo2">
    <w:name w:val="heading 2"/>
    <w:aliases w:val="Subtitulos Amicus"/>
    <w:basedOn w:val="Subttulo"/>
    <w:next w:val="Normal"/>
    <w:link w:val="Ttulo2Car"/>
    <w:uiPriority w:val="9"/>
    <w:unhideWhenUsed/>
    <w:qFormat/>
    <w:rsid w:val="003A59D2"/>
    <w:pPr>
      <w:keepNext/>
      <w:keepLines/>
      <w:spacing w:before="200" w:after="0"/>
      <w:jc w:val="left"/>
      <w:outlineLvl w:val="1"/>
    </w:pPr>
    <w:rPr>
      <w:rFonts w:ascii="Garamond" w:hAnsi="Garamond"/>
      <w:b/>
      <w:bCs/>
      <w:i w:val="0"/>
      <w:color w:val="auto"/>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
    <w:name w:val="Quote"/>
    <w:aliases w:val="Amicus Cita"/>
    <w:basedOn w:val="Piedepgina"/>
    <w:link w:val="CitaCar"/>
    <w:autoRedefine/>
    <w:uiPriority w:val="29"/>
    <w:qFormat/>
    <w:rsid w:val="006E449D"/>
    <w:pPr>
      <w:spacing w:after="80"/>
    </w:pPr>
    <w:rPr>
      <w:rFonts w:cs="Times New Roman"/>
      <w:iCs/>
      <w:color w:val="000000" w:themeColor="text1"/>
      <w:sz w:val="22"/>
    </w:rPr>
  </w:style>
  <w:style w:type="character" w:customStyle="1" w:styleId="CitaCar">
    <w:name w:val="Cita Car"/>
    <w:aliases w:val="Amicus Cita Car"/>
    <w:basedOn w:val="Fuentedeprrafopredeter"/>
    <w:link w:val="Cita"/>
    <w:uiPriority w:val="29"/>
    <w:rsid w:val="006E449D"/>
    <w:rPr>
      <w:rFonts w:ascii="Garamond" w:hAnsi="Garamond" w:cs="Times New Roman"/>
      <w:iCs/>
      <w:color w:val="000000" w:themeColor="text1"/>
    </w:rPr>
  </w:style>
  <w:style w:type="paragraph" w:styleId="Piedepgina">
    <w:name w:val="footer"/>
    <w:basedOn w:val="Normal"/>
    <w:link w:val="PiedepginaCar"/>
    <w:uiPriority w:val="99"/>
    <w:unhideWhenUsed/>
    <w:rsid w:val="00A81F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1FC8"/>
  </w:style>
  <w:style w:type="paragraph" w:customStyle="1" w:styleId="Ttulos">
    <w:name w:val="Títulos"/>
    <w:basedOn w:val="Normal"/>
    <w:uiPriority w:val="99"/>
    <w:rsid w:val="009E3816"/>
    <w:pPr>
      <w:autoSpaceDE w:val="0"/>
      <w:autoSpaceDN w:val="0"/>
      <w:adjustRightInd w:val="0"/>
      <w:spacing w:after="0" w:line="288" w:lineRule="auto"/>
      <w:jc w:val="center"/>
      <w:textAlignment w:val="center"/>
    </w:pPr>
    <w:rPr>
      <w:rFonts w:ascii="Garamond (TT) Bold" w:eastAsiaTheme="minorEastAsia" w:hAnsi="Garamond (TT) Bold" w:cs="Garamond (TT) Bold"/>
      <w:b/>
      <w:bCs/>
      <w:color w:val="000000"/>
      <w:sz w:val="28"/>
      <w:szCs w:val="28"/>
      <w:lang w:val="en-US" w:bidi="en-US"/>
    </w:rPr>
  </w:style>
  <w:style w:type="paragraph" w:styleId="Encabezado">
    <w:name w:val="header"/>
    <w:basedOn w:val="Normal"/>
    <w:link w:val="EncabezadoCar"/>
    <w:uiPriority w:val="99"/>
    <w:unhideWhenUsed/>
    <w:rsid w:val="009E38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3816"/>
  </w:style>
  <w:style w:type="paragraph" w:styleId="Textodeglobo">
    <w:name w:val="Balloon Text"/>
    <w:basedOn w:val="Normal"/>
    <w:link w:val="TextodegloboCar"/>
    <w:uiPriority w:val="99"/>
    <w:semiHidden/>
    <w:unhideWhenUsed/>
    <w:rsid w:val="00A83C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C0E"/>
    <w:rPr>
      <w:rFonts w:ascii="Tahoma" w:hAnsi="Tahoma" w:cs="Tahoma"/>
      <w:sz w:val="16"/>
      <w:szCs w:val="16"/>
    </w:rPr>
  </w:style>
  <w:style w:type="paragraph" w:customStyle="1" w:styleId="ContenidoAmicus">
    <w:name w:val="Contenido Amicus"/>
    <w:basedOn w:val="Normal"/>
    <w:uiPriority w:val="99"/>
    <w:rsid w:val="00A8323D"/>
    <w:pPr>
      <w:autoSpaceDE w:val="0"/>
      <w:autoSpaceDN w:val="0"/>
      <w:adjustRightInd w:val="0"/>
      <w:spacing w:line="360" w:lineRule="auto"/>
      <w:ind w:firstLine="227"/>
      <w:textAlignment w:val="center"/>
    </w:pPr>
    <w:rPr>
      <w:rFonts w:eastAsiaTheme="minorEastAsia" w:cs="Minion Pro"/>
      <w:color w:val="000000"/>
      <w:szCs w:val="24"/>
      <w:lang w:val="en-US" w:bidi="en-US"/>
    </w:rPr>
  </w:style>
  <w:style w:type="character" w:customStyle="1" w:styleId="Ttulo1Car">
    <w:name w:val="Título 1 Car"/>
    <w:aliases w:val="Amicus titulo Car"/>
    <w:basedOn w:val="Fuentedeprrafopredeter"/>
    <w:link w:val="Ttulo1"/>
    <w:uiPriority w:val="9"/>
    <w:rsid w:val="008C7BAB"/>
    <w:rPr>
      <w:rFonts w:ascii="Garamond" w:eastAsiaTheme="majorEastAsia" w:hAnsi="Garamond" w:cstheme="majorBidi"/>
      <w:b/>
      <w:bCs/>
      <w:sz w:val="28"/>
      <w:szCs w:val="28"/>
    </w:rPr>
  </w:style>
  <w:style w:type="character" w:customStyle="1" w:styleId="Ttulo2Car">
    <w:name w:val="Título 2 Car"/>
    <w:aliases w:val="Subtitulos Amicus Car"/>
    <w:basedOn w:val="Fuentedeprrafopredeter"/>
    <w:link w:val="Ttulo2"/>
    <w:uiPriority w:val="9"/>
    <w:rsid w:val="003A59D2"/>
    <w:rPr>
      <w:rFonts w:ascii="Garamond" w:eastAsiaTheme="majorEastAsia" w:hAnsi="Garamond" w:cstheme="majorBidi"/>
      <w:b/>
      <w:bCs/>
      <w:iCs/>
      <w:spacing w:val="15"/>
      <w:sz w:val="24"/>
      <w:szCs w:val="26"/>
    </w:rPr>
  </w:style>
  <w:style w:type="paragraph" w:styleId="Textoindependiente3">
    <w:name w:val="Body Text 3"/>
    <w:link w:val="Textoindependiente3Car"/>
    <w:uiPriority w:val="99"/>
    <w:unhideWhenUsed/>
    <w:rsid w:val="0066479D"/>
    <w:pPr>
      <w:spacing w:after="0" w:line="240" w:lineRule="auto"/>
    </w:pPr>
    <w:rPr>
      <w:rFonts w:ascii="Tw Cen MT" w:eastAsia="Times New Roman" w:hAnsi="Tw Cen MT" w:cs="Times New Roman"/>
      <w:color w:val="000000"/>
      <w:kern w:val="28"/>
      <w:lang w:eastAsia="es-MX"/>
    </w:rPr>
  </w:style>
  <w:style w:type="paragraph" w:styleId="Subttulo">
    <w:name w:val="Subtitle"/>
    <w:basedOn w:val="Normal"/>
    <w:next w:val="Normal"/>
    <w:link w:val="SubttuloCar"/>
    <w:uiPriority w:val="11"/>
    <w:qFormat/>
    <w:rsid w:val="008C7BA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8C7BAB"/>
    <w:rPr>
      <w:rFonts w:asciiTheme="majorHAnsi" w:eastAsiaTheme="majorEastAsia" w:hAnsiTheme="majorHAnsi" w:cstheme="majorBidi"/>
      <w:i/>
      <w:iCs/>
      <w:color w:val="4F81BD" w:themeColor="accent1"/>
      <w:spacing w:val="15"/>
      <w:sz w:val="24"/>
      <w:szCs w:val="24"/>
    </w:rPr>
  </w:style>
  <w:style w:type="character" w:customStyle="1" w:styleId="Textoindependiente3Car">
    <w:name w:val="Texto independiente 3 Car"/>
    <w:basedOn w:val="Fuentedeprrafopredeter"/>
    <w:link w:val="Textoindependiente3"/>
    <w:uiPriority w:val="99"/>
    <w:rsid w:val="0066479D"/>
    <w:rPr>
      <w:rFonts w:ascii="Tw Cen MT" w:eastAsia="Times New Roman" w:hAnsi="Tw Cen MT" w:cs="Times New Roman"/>
      <w:color w:val="000000"/>
      <w:kern w:val="28"/>
      <w:lang w:eastAsia="es-MX"/>
    </w:rPr>
  </w:style>
  <w:style w:type="paragraph" w:customStyle="1" w:styleId="AmicusPresentacin">
    <w:name w:val="Amicus Presentación"/>
    <w:basedOn w:val="Normal"/>
    <w:uiPriority w:val="99"/>
    <w:rsid w:val="00F679AC"/>
    <w:pPr>
      <w:autoSpaceDE w:val="0"/>
      <w:autoSpaceDN w:val="0"/>
      <w:adjustRightInd w:val="0"/>
      <w:spacing w:after="0" w:line="360" w:lineRule="auto"/>
      <w:textAlignment w:val="center"/>
    </w:pPr>
    <w:rPr>
      <w:rFonts w:eastAsiaTheme="minorEastAsia" w:cs="Minion Pro"/>
      <w:color w:val="000000"/>
      <w:szCs w:val="24"/>
      <w:lang w:val="en-US" w:bidi="en-US"/>
    </w:rPr>
  </w:style>
  <w:style w:type="paragraph" w:styleId="Textonotapie">
    <w:name w:val="footnote text"/>
    <w:basedOn w:val="Normal"/>
    <w:link w:val="TextonotapieCar"/>
    <w:uiPriority w:val="99"/>
    <w:unhideWhenUsed/>
    <w:rsid w:val="003A59D2"/>
    <w:pPr>
      <w:spacing w:after="0" w:line="240" w:lineRule="auto"/>
      <w:jc w:val="left"/>
    </w:pPr>
    <w:rPr>
      <w:rFonts w:asciiTheme="minorHAnsi" w:hAnsiTheme="minorHAnsi"/>
      <w:sz w:val="20"/>
      <w:szCs w:val="20"/>
    </w:rPr>
  </w:style>
  <w:style w:type="character" w:customStyle="1" w:styleId="TextonotapieCar">
    <w:name w:val="Texto nota pie Car"/>
    <w:basedOn w:val="Fuentedeprrafopredeter"/>
    <w:link w:val="Textonotapie"/>
    <w:uiPriority w:val="99"/>
    <w:rsid w:val="003A59D2"/>
    <w:rPr>
      <w:sz w:val="20"/>
      <w:szCs w:val="20"/>
    </w:rPr>
  </w:style>
  <w:style w:type="character" w:styleId="Refdenotaalpie">
    <w:name w:val="footnote reference"/>
    <w:basedOn w:val="Fuentedeprrafopredeter"/>
    <w:semiHidden/>
    <w:unhideWhenUsed/>
    <w:rsid w:val="003A59D2"/>
    <w:rPr>
      <w:vertAlign w:val="superscript"/>
    </w:rPr>
  </w:style>
  <w:style w:type="character" w:styleId="Hipervnculo">
    <w:name w:val="Hyperlink"/>
    <w:basedOn w:val="Fuentedeprrafopredeter"/>
    <w:uiPriority w:val="99"/>
    <w:unhideWhenUsed/>
    <w:rsid w:val="003A59D2"/>
    <w:rPr>
      <w:color w:val="0000FF" w:themeColor="hyperlink"/>
      <w:u w:val="single"/>
    </w:rPr>
  </w:style>
  <w:style w:type="character" w:styleId="Hipervnculovisitado">
    <w:name w:val="FollowedHyperlink"/>
    <w:basedOn w:val="Fuentedeprrafopredeter"/>
    <w:uiPriority w:val="99"/>
    <w:semiHidden/>
    <w:unhideWhenUsed/>
    <w:rsid w:val="00A76984"/>
    <w:rPr>
      <w:color w:val="800080" w:themeColor="followedHyperlink"/>
      <w:u w:val="single"/>
    </w:rPr>
  </w:style>
  <w:style w:type="character" w:customStyle="1" w:styleId="argris12">
    <w:name w:val="argris12"/>
    <w:basedOn w:val="Fuentedeprrafopredeter"/>
    <w:rsid w:val="009559A2"/>
  </w:style>
  <w:style w:type="paragraph" w:styleId="Prrafodelista">
    <w:name w:val="List Paragraph"/>
    <w:basedOn w:val="Normal"/>
    <w:uiPriority w:val="34"/>
    <w:qFormat/>
    <w:rsid w:val="000B21FB"/>
    <w:pPr>
      <w:ind w:left="720"/>
      <w:contextualSpacing/>
      <w:jc w:val="left"/>
    </w:pPr>
    <w:rPr>
      <w:rFonts w:asciiTheme="minorHAnsi" w:hAnsiTheme="minorHAnsi"/>
      <w:sz w:val="22"/>
    </w:rPr>
  </w:style>
  <w:style w:type="paragraph" w:customStyle="1" w:styleId="Default">
    <w:name w:val="Default"/>
    <w:rsid w:val="006F7895"/>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F7895"/>
    <w:pPr>
      <w:spacing w:after="0" w:line="240" w:lineRule="auto"/>
    </w:pPr>
  </w:style>
  <w:style w:type="paragraph" w:styleId="NormalWeb">
    <w:name w:val="Normal (Web)"/>
    <w:basedOn w:val="Normal"/>
    <w:uiPriority w:val="99"/>
    <w:unhideWhenUsed/>
    <w:rsid w:val="003519C2"/>
    <w:pPr>
      <w:spacing w:before="100" w:beforeAutospacing="1" w:after="100" w:afterAutospacing="1" w:line="240" w:lineRule="auto"/>
      <w:jc w:val="left"/>
    </w:pPr>
    <w:rPr>
      <w:rFonts w:ascii="Times New Roman" w:eastAsia="Times New Roman" w:hAnsi="Times New Roman" w:cs="Times New Roman"/>
      <w:szCs w:val="24"/>
      <w:lang w:eastAsia="es-MX"/>
    </w:rPr>
  </w:style>
  <w:style w:type="character" w:customStyle="1" w:styleId="arnaranja10b">
    <w:name w:val="arnaranja10b"/>
    <w:basedOn w:val="Fuentedeprrafopredeter"/>
    <w:rsid w:val="003519C2"/>
  </w:style>
  <w:style w:type="character" w:customStyle="1" w:styleId="apple-converted-space">
    <w:name w:val="apple-converted-space"/>
    <w:basedOn w:val="Fuentedeprrafopredeter"/>
    <w:rsid w:val="003519C2"/>
  </w:style>
  <w:style w:type="paragraph" w:styleId="Textonotaalfinal">
    <w:name w:val="endnote text"/>
    <w:basedOn w:val="Normal"/>
    <w:link w:val="TextonotaalfinalCar"/>
    <w:uiPriority w:val="99"/>
    <w:unhideWhenUsed/>
    <w:rsid w:val="0053651F"/>
    <w:pPr>
      <w:spacing w:after="0" w:line="240" w:lineRule="auto"/>
      <w:jc w:val="left"/>
    </w:pPr>
    <w:rPr>
      <w:rFonts w:ascii="Calibri" w:eastAsia="MS Mincho" w:hAnsi="Calibri" w:cs="Times New Roman"/>
      <w:szCs w:val="24"/>
      <w:lang w:val="es-ES_tradnl" w:eastAsia="es-ES"/>
    </w:rPr>
  </w:style>
  <w:style w:type="character" w:customStyle="1" w:styleId="TextonotaalfinalCar">
    <w:name w:val="Texto nota al final Car"/>
    <w:basedOn w:val="Fuentedeprrafopredeter"/>
    <w:link w:val="Textonotaalfinal"/>
    <w:uiPriority w:val="99"/>
    <w:rsid w:val="0053651F"/>
    <w:rPr>
      <w:rFonts w:ascii="Calibri" w:eastAsia="MS Mincho" w:hAnsi="Calibri" w:cs="Times New Roman"/>
      <w:sz w:val="24"/>
      <w:szCs w:val="24"/>
      <w:lang w:val="es-ES_tradnl" w:eastAsia="es-ES"/>
    </w:rPr>
  </w:style>
  <w:style w:type="table" w:styleId="Tablaconcuadrcula">
    <w:name w:val="Table Grid"/>
    <w:basedOn w:val="Tablanormal"/>
    <w:uiPriority w:val="39"/>
    <w:rsid w:val="007C47E7"/>
    <w:pPr>
      <w:spacing w:after="0" w:line="240" w:lineRule="auto"/>
    </w:pPr>
    <w:rPr>
      <w:rFonts w:eastAsiaTheme="minorEastAsia"/>
      <w:sz w:val="24"/>
      <w:szCs w:val="24"/>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6F98C0-AEE5-432E-9C2F-6DA65E4DA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12</Pages>
  <Words>2664</Words>
  <Characters>14655</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Facultad de Derecho</Company>
  <LinksUpToDate>false</LinksUpToDate>
  <CharactersWithSpaces>17285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Alanis</cp:lastModifiedBy>
  <cp:revision>57</cp:revision>
  <cp:lastPrinted>2015-04-16T23:32:00Z</cp:lastPrinted>
  <dcterms:created xsi:type="dcterms:W3CDTF">2015-09-22T16:38:00Z</dcterms:created>
  <dcterms:modified xsi:type="dcterms:W3CDTF">2016-05-05T23:52:00Z</dcterms:modified>
</cp:coreProperties>
</file>